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F-4314/2016 vom 6. Juni 2017</w:t>
      </w:r>
    </w:p>
    <w:p>
      <w:r>
        <w:t>Bundesverwaltungsgericht, 2017-06-06, DE</w:t>
      </w:r>
    </w:p>
    <w:p>
      <w:r>
        <w:rPr>
          <w:b/>
        </w:rPr>
        <w:t xml:space="preserve">Quelle: </w:t>
      </w:r>
      <w:r>
        <w:t>https://mcp.opencaselaw.ch/entscheid/bvger_F-4314_2016</w:t>
      </w:r>
    </w:p>
    <w:p>
      <w:r>
        <w:t>FR: TAF F-4314/2016 du 6 juin 2017</w:t>
      </w:r>
    </w:p>
    <w:p>
      <w:r>
        <w:t>IT: TAF F-4314/2016 del 6 giugno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63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Der Umstand, dass das Strafverfahren in Bezug auf die Widerhandlung gegen das Ausländergesetz (Strafbefehl vom 14. April 2016; Einsprache vom 10. Juni 2016) zum Zeitpunkt des Verfügungserlasses vom 10. Juni 2016 noch hängig war, ist für das Bundesverwaltungsgericht nicht von Relevanz.</w:t>
      </w:r>
    </w:p>
    <w:p>
      <w:r>
        <w:rPr>
          <w:b/>
        </w:rPr>
        <w:t>E. 3.2</w:t>
      </w:r>
    </w:p>
    <w:p>
      <w:r>
        <w:t>Die Anordnung eines Einreiseverbots ist eine präventivpolizeiliche Massnahme, die kein (rechtskräftiges) Strafurteil voraussetzt. Das Einreiseverbot knüpft somit direkt an die Störung der öffentlichen Sicherheit und Ordnung an und nicht an die Ahndung derselben. Ob eine solche Störung besteht und wie diese zu gewichten ist, hat die Verwaltungsbehörde in eigener Kompetenz unter Zugrundelegung spezifisch ausländerrechtlicher Kriterien zu beurteilen. Entsprechend kann ein Einreiseverbot auch dann ergehen, wenn ein rechtskräftiges Urteil fehlt, sei es, weil ein Strafverfahren nicht eröffnet bzw. eingestellt wurde oder noch hängig ist (vgl. Urteil des BVGer C-2428/2015 vom 10. Mai 2016 E. 3.2 m.H.). In casu ist der Strafbefehl in der Zwischenzeit mit Entscheid des Bezirksgerichts Schwyz vom 10. November 2016 wegen verspäteter und ungültiger Einsprache in Rechtskraft erwachsen (vgl. BVGer-act. 16), womit die Rüge, die Vor-instanz hätte aktenwidrig verfügt, auch aus diesem Grund gegenstandslos geworden ist.</w:t>
      </w:r>
    </w:p>
    <w:p>
      <w:r>
        <w:rPr>
          <w:b/>
        </w:rPr>
        <w:t>E. 4.1</w:t>
      </w:r>
    </w:p>
    <w:p>
      <w:r>
        <w:t>Der Beschwerdeführer rügt in formeller Hinsicht, die Vorinstanz sei mit ihrer "schablonenhaften" und "formularartigen" Verfügung ihrer Begründungspflicht nicht nachgekommen und habe den Sachverhalt lücken- bzw. fehlerhaft aufgeführt (vgl. Bst. G), womit implizit eine Verletzung des Anspruchs auf rechtliches Gehör gerügt wird (vgl. Art. 29 Abs. 2 BV und Art. 29 ff. VwVG).</w:t>
      </w:r>
    </w:p>
    <w:p>
      <w:r>
        <w:rPr>
          <w:b/>
        </w:rPr>
        <w:t>E. 4.2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4.3</w:t>
      </w:r>
    </w:p>
    <w:p>
      <w:r>
        <w:t>Die Vorinstanz hat in ihrer Verfügung vom 10. Juni 2016 in der Tat auf den Strafbefehl der Staatsanwaltschaft Innerschwyz vom 14. April 2016 verwiesen. Damit war für den Beschwerdeführer ohne Weiteres der Grund erkennbar, wieso das SEM die Fernhaltemassnahme angeordnet hat. Es war ihm denn auch möglich, sachgerecht und vollständig gegen die vor-instanzliche Verfügung zu argumentieren. Dass die Vorinstanz dabei davon ausgegangen ist, der Strafbefehl sei rechtskräftig, kann ihr nicht vorgeworfen werden, war doch die ordentliche Rechtsmittelfrist - wie in E. 3.2 soeben ausgeführt - bereits verstrichen und die Rechtskraft zudem keine Voraussetzung für die Verhängung einer Fernhaltemassnahme.</w:t>
      </w:r>
    </w:p>
    <w:p>
      <w:r>
        <w:rPr>
          <w:b/>
        </w:rPr>
        <w:t>E. 4.4</w:t>
      </w:r>
    </w:p>
    <w:p>
      <w:r>
        <w:t>Die erhobene Rüge der Gehörsverletzung erweist sich demnach als unbegründet.</w:t>
      </w:r>
    </w:p>
    <w:p>
      <w:r>
        <w:rPr>
          <w:b/>
        </w:rPr>
        <w:t>E. 5.1</w:t>
      </w:r>
    </w:p>
    <w:p>
      <w:r>
        <w:t>Das SEM verfügt Einreiseverbote gegenüber weggewiesenen Ausländerinnen und Ausländern, wenn die Wegweisung nach Art. 64d Abs. 2 Bst. a-c AuG sofort vollstreckt wird (Art. 67 Abs. 1 Bst. a AuG) oder die betroffene Person der Ausreiseverpflichtung nicht innert Frist nachgekommen ist (Art. 67 Abs. 1 Bst. b AuG). Es kann sodann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5.2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C-2882/2015 vom 4. Februar 2016 E. 4.1 m.H.).</w:t>
      </w:r>
    </w:p>
    <w:p>
      <w:r>
        <w:rPr>
          <w:b/>
        </w:rPr>
        <w:t>E. 6.1</w:t>
      </w:r>
    </w:p>
    <w:p>
      <w:r>
        <w:t>Die Vorinstanz begründet das Einreiseverbot damit, dass der Beschwerdeführer zwischen dem 15. Juni 2015 und dem 11. November 2015 einer illegalen Erwerbstätigkeit nachgegangen sei ohne im Besitze der erforderlichen ausländerrechtlichen Bewilligung zu sein. Gemäss ständiger Praxis und Rechtsprechung liege damit ein Verstoss gegen die öffentliche Sicherheit und Ordnung im Sinne von Art. 67 AuG vor.</w:t>
      </w:r>
    </w:p>
    <w:p>
      <w:r>
        <w:rPr>
          <w:b/>
        </w:rPr>
        <w:t>E. 6.2</w:t>
      </w:r>
    </w:p>
    <w:p>
      <w:r>
        <w:t>Der Beschwerdeführer bezeichnete im Rahmen der polizeilichen Einvernahme vom 11. November 2015 sein Engagement im A._______ hingegen nicht als Arbeit. Er sei lediglich der Gastgeber, der während der Restaurant-Öffnungszeiten zu den Gästen geschaut habe und für deren Zufriedenheit besorgt gewesen sei. Zudem habe er keinen offiziellen Lohn bezogen. Er habe das Geld für seinen Lebensunterhalt aus den Tageseinnahmen genommen und der übrige Verdienst sei jeweils wieder ins Restaurant investiert worden. Er habe jeweils im Büro des Restaurants logiert, welches zum Betrieb gehöre und in der Restaurantmiete von Fr. 3'800.- pro Monat inbegriffen sei (vgl. kant. Akt. 74 sowie SEM-pag. 84). Im Rahmen des rechtlichen Gehörs gab er zu Protokoll, dass er sich keiner Schuld bewusst sei, habe er doch in den letzten Jahren in der Schweiz mehrere Gastronomiebetriebe geleitet. Auch sei er dabei mehrfach von den Behörden und der Polizei kontrolliert worden, wobei nie etwas beanstandet worden sei (SEM-pag. 83).</w:t>
      </w:r>
    </w:p>
    <w:p>
      <w:r>
        <w:rPr>
          <w:b/>
        </w:rPr>
        <w:t>E. 6.3</w:t>
      </w:r>
    </w:p>
    <w:p>
      <w:r>
        <w:t>Hierzu ist einerseits anzumerken, dass es für die Verhängung eines Einreiseverbots keines vorsätzlichen Verstosses gegen ausländerrechtliche Bestimmungen bedarf.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Person obliegt es, sich über bestehende Rechte und Pflichten ins Bild zu setzen und sich nötigenfalls bei den zuständigen Stellen zu informieren (vgl. statt vieler Urteil des BVGer C-7177/2015 vom 29. April 2016 E. 4.2 m.H.). Dass der Beschwerdeführer sich seiner Schuld nicht bewusst gewesen sei, er bereits seit Jahren Gastronomiebetriebe wieder "auf Vordermann" bringe, in all den Jahren mehrfach durch die Polizei kontrolliert und nie etwas beanstandet worden sei und dass er sich jetzt bei den zuständigen Behörden informieren werde, vermag ihn nicht zu entlasten.</w:t>
      </w:r>
    </w:p>
    <w:p>
      <w:r>
        <w:rPr>
          <w:b/>
        </w:rPr>
        <w:t>E. 6.4</w:t>
      </w:r>
    </w:p>
    <w:p>
      <w:r>
        <w:t>Der Rechtsvertreter bringt vor, sein Mandant sei geschäftsführender Gesellschafter und deshalb vor Ort gewesen, um sich um sein "Investment" zu kümmern, was diesem aufgrund seiner Niederlassungsbewilligung in Deutschland im Rahmen der bilateralen Abkommen mit der EU und unter Berücksichtigung der ständigen Verwaltungspraxis des Bundes gestattet sei. Einerseits ist hierzu festzuhalten, dass sich der Beschwerdeführer als Drittstaatangehöriger nicht auf das Freizügigkeitsabkommen berufen kann und andererseits gilt auch hier, dass es für die Ausübung einer Erwerbstätigkeit gestützt auf Art. 11 AuG einer Bewilligung bedarf, weshalb das Argument des Beschwerdeführers nicht stichhaltig ist.</w:t>
      </w:r>
    </w:p>
    <w:p>
      <w:r>
        <w:rPr>
          <w:b/>
        </w:rPr>
        <w:t>E. 6.5</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w:t>
      </w:r>
    </w:p>
    <w:p>
      <w:r>
        <w:rPr>
          <w:b/>
        </w:rPr>
        <w:t>E. 6.6</w:t>
      </w:r>
    </w:p>
    <w:p>
      <w:r>
        <w:t>Zusammenfassend stellt das Bundesverwaltungsgericht fest, dass der Beschwerdeführer in der Zeit vom 15. Juni 2015 bis zum 11. November 2015 einer Erwerbstätigkeit im Sinne des Gesetzes nachgegangen ist ohne im Besitze der hierfür erforderlichen Bewilligung zu sein (Art. 115 Abs. 1 Bst. c AuG i.V.m. Art. 11 Abs. 2 AuG und Art. 1a und 2 VZAE). Damit hat er gegen die öffentliche Sicherheit und Ordnung verstossen und einen hinreichenden Anlass zur Verhängung eines Einreiseverbots bewirkt (vgl. Art. 67 Abs. 2 Bst. a AuG; Art. 80 Abs. 1 Bst. a VZAE). Des Weiteren existieren gemäss Polizeirapport der Kantonspolizei Schwyz - und somit entgegen der Behauptung des Beschwerdeführers (vgl. E. 6.2 in fine) - bezüglich Kontrollen in früheren Gastronomiebetrieben, namentlich der C._______ Bar in D._______, keine Akten bei der Kantonspolizei Zürich (SEM-pag. 82), weswegen der Beschwerdeführer aufgrund seiner angeblichen früheren Tätigkeiten nichts zu seinen Gunsten ableiten kann.</w:t>
      </w:r>
    </w:p>
    <w:p>
      <w:r>
        <w:rPr>
          <w:b/>
        </w:rPr>
        <w:t>E. 7.1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Der Beschwerdeführer ging in der Schweiz einer Erwerbstätigkeit ohne Bewilligung nach und wurde deshalb rechtskräftig weggewiesen. Solches Fehlverhalten wiegt objektiv gesehen schwer. Aus dem von ihm manifestierten Verhalten ist auf eine Gefährdung der öffentlichen Sicherheit und Ordnung zu schliessen, d.h. das Einreiseverbot hat auch spezialpräventiven Charakter, um einer weiteren illegalen Erwerbstätigkeit und damit einer weiteren Störung der öffentlichen Sicherheit und Ordnung entgegenzuwirken (vgl. Urteil des BVGer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Der Beschwerdeführer macht geltend, dass ihn das Einreiseverbot in seiner Handels- und Gewerbefreiheit einschränke, gestatte ihm doch die Niederlassungsbewilligung in Deutschland im Rahmen der bilateralen Abkommen mit der EU unter Berücksichtigung der ständigen Verwaltungspraxis des Bundes einer Erwerbstätigkeit vor-übergehend nachzugehen. Zudem könne er in seinem Betrieb nicht mehr "nach dem Rechten" schauen, was eine ungewisse Situation für seine Mitarbeiter und Kunden bedeute. Der Beschwerdeführer könne seine Aufgaben als "Chef" gegenüber seinen Angestellten schlichtweg nicht ausführen, indem er nicht am Arbeitsplatz erscheine. Diese privaten Interessen vermögen - wie auch in E. 6.4 ausgeführt - jedoch weder eine Aufhebung noch eine Verkürzung des Einreiseverbots zu rechtfertigen, zumal dem Beschwerdeführer Besuchsaufenthalte zur Erledigung wichtiger geschäftlicher Termine, die seine Anwesenheit voraussetzen, nicht schlichtweg untersagt sind; das SEM kann die Fernhaltemassnahme auf begründetes Gesuch hin aus humanitären oder anderen wichtigen Gründen befristet suspendieren (Art. 67 Abs. 5 AuG; BVGE 2013/4 E. 7.4.3 m.H.). Im Übrigen kann der Kontakt zu seinen Geschäftspartnern oder zu seinen Mitarbeitern auch auf andere Weise als durch persönliche Begegnungen in der Schweiz gepflegt werden (z.B. Telefonate, Skype, Besuche der entsprechenden Personen im jetzigen Aufenthaltsstaat). Die zweijährige Dauer der Fernhaltemassnahme entspricht somit der Praxis des Gerichts in vergleichbaren Fällen (vgl. Urteil des BVGer C-2894/2015 vom 2. Februar 2016 E. 7.3 m.H.).</w:t>
      </w:r>
    </w:p>
    <w:p>
      <w:r>
        <w:rPr>
          <w:b/>
        </w:rPr>
        <w:t>E. 7.4</w:t>
      </w:r>
    </w:p>
    <w:p>
      <w:r>
        <w:t>Das verhängte Einreiseverbot stellt somit sowohl im Grundsatz als auch hinsichtlich der Dauer eine verhältnismässige und angemessene Massnahme zum Schutz der öffentlichen Sicherheit und Ordnung dar.</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