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F-4314/2015 vom 17. Oktober 2017</w:t>
      </w:r>
    </w:p>
    <w:p>
      <w:r>
        <w:t>Bundesverwaltungsgericht, 2017-10-17, DE</w:t>
      </w:r>
    </w:p>
    <w:p>
      <w:r>
        <w:rPr>
          <w:b/>
        </w:rPr>
        <w:t xml:space="preserve">Quelle: </w:t>
      </w:r>
      <w:r>
        <w:t>https://mcp.opencaselaw.ch/entscheid/bvger_F-4314_2015</w:t>
      </w:r>
    </w:p>
    <w:p>
      <w:r>
        <w:t>FR: TAF F-4314/2015 du 17 octobre 2017</w:t>
      </w:r>
    </w:p>
    <w:p>
      <w:r>
        <w:t>IT: TAF F-4314/2015 del 17 ottobre 2017</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Die angefochtene Verfügung wurde dem Vertreter des Beschwerdeführers am 10. Juni 2015 zugestellt. Nachdem der Vertreter mit dem SEM Rücksprache genommen hatte, übermittelte ihm dieses mit E-Mail vom 7. Juli 2015 eine revidierte Fassung des Einreiseverbots mit dem Hinweis, dass die Beschwerdefrist erst mit der Eröffnung dieser korrigierten Fassung zu laufen beginne. Der Beschwerdeführer erhob in der Folge bereits am 10. Juli 2015 Beschwerde an das Bundesverwaltungsgericht.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Vorab ist auf die Rüge des Beschwerdeführers einzugehen, die Vorinstanz habe das Einreiseverbot "zu allgemein und im Wesentlichen unter Ausblendung der im Rahmen des rechtlichen Gehörs vom 21. Mai 2015 gemachten Ausführungen" verfügt und damit die Begründungspflicht verletzt. Soweit dies als Rüge der Verletzung des Anspruchs auf rechtliches Gehör zu interpretieren ist, ergibt sich dazu Folgendes:</w:t>
      </w:r>
    </w:p>
    <w:p>
      <w:r>
        <w:rPr>
          <w:b/>
        </w:rPr>
        <w:t>E. 3.1</w:t>
      </w:r>
    </w:p>
    <w:p>
      <w:r>
        <w:t>Der Anspruch auf rechtliches Gehör umfasst eine Anzahl verschiedener verfassungsrechtlicher Garantien.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w:t>
      </w:r>
    </w:p>
    <w:p>
      <w:r>
        <w:rPr>
          <w:b/>
        </w:rPr>
        <w:t>E. 3.2</w:t>
      </w:r>
    </w:p>
    <w:p>
      <w:r>
        <w:t>Entgegen der Auffassung des Beschwerdeführers lassen sich aus dem Umfang der Begründung keine direkten Schlüsse auf ihr rechtliches Genügen ziehen. Massgebend ist allein, ob sie ihre Funktion erfüllt. Das kann auch eine knappe Begründung leisten. Sodann trifft es zwar zu, dass die Begründung der angefochtenen Verfügung den Prozess der Interessenabwägung nicht widerspiegelt. Sie hält lediglich deren Ergebnis fest, nämlich dass das öffentliche Interesse an der Fernhaltung des Beschwerdeführers überwiegt. Es ist indessen festzustellen, dass die betroffenen öffentlichen und privaten Interessen im Rahmen des Verfahrens auf Widerruf der Niederlassungsbewilligung und Wegweisung bereits wiederholt und umfassend gewürdigt wurden (vgl. Urteil des BGer 2C_28/2014), indem die Vor-instanz in der angefochtenen Verfügung zu erkennen gibt, sie mache sich den Standpunkt der mit der Niederlassungsbewilligung befassten Instanzen zu eigen, gab sie implizit zu verstehen, dass die Einwände an ihrem Standpunkt nichts zu ändern vermöchten. Unter den dargestellten Umständen war für den Beschwerdeführer durchaus erkennbar, von welchen Motiven sich die Vorinstanz bei ihrem Entscheid leiten liess. Einer wirksamen Wahrung seiner Parteirechte stand unter diesem Gesichtspunkt nichts entgegen.</w:t>
      </w:r>
    </w:p>
    <w:p>
      <w:r>
        <w:rPr>
          <w:b/>
        </w:rPr>
        <w:t>E. 3.3</w:t>
      </w:r>
    </w:p>
    <w:p>
      <w:r>
        <w:t>Aus den vorstehenden Erwägungen ergibt sich, dass die Rüge des Beschwerdeführers als unbegründet zurückzuweisen ist.</w:t>
      </w:r>
    </w:p>
    <w:p>
      <w:r>
        <w:rPr>
          <w:b/>
        </w:rPr>
        <w:t>E. 4.1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ausnahmsweise von der Verhängung eines Einreiseverbots absehen oder ein Einreiseverbot endgültig oder vorübergehend aufheben (Art. 67 Abs. 5 AuG).</w:t>
      </w:r>
    </w:p>
    <w:p>
      <w:r>
        <w:rPr>
          <w:b/>
        </w:rPr>
        <w:t>E. 4.2</w:t>
      </w:r>
    </w:p>
    <w:p>
      <w:r>
        <w:t>Das Einreiseverbot dient der Abwendung künftiger Störungen der öffentlichen Sicherheit und Ordnung (siehe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a.a.O.,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F-5350/2016 vom 6. März 2017 E. 6.2 m.H.).</w:t>
      </w:r>
    </w:p>
    <w:p>
      <w:r>
        <w:rPr>
          <w:b/>
        </w:rPr>
        <w:t>E. 5.1</w:t>
      </w:r>
    </w:p>
    <w:p>
      <w:r>
        <w:t>Der Beschwerdeführer wurde im Alter von 18 Jahren erstmals straffällig. In der Folge delinquierte er in mehr oder weniger regelmässigen Abständen weiter, wobei seine Straftaten immer schwerer wurden. Schliesslich erwirkte er am 11. Mai 2010 eine Verurteilung durch das Bezirksgericht Baden zu 3 ½ Jahren Freiheitsstrafe wegen mehrfacher qualifizierter Widerhandlung gegen das BetmG, begangen zwischen dem 4. April 2008 und Ende Juni 2008 im Alter von 24 Jahren. Trotz dieser Verurteilung und bereits zweier ausgesprochener ausländerrechtlicher Verwarnungen durch das Migrationsamt wurde er zwischen dem 7. und 10. November 2010 erneut straffällig (vgl. Sachverhalt Bst. B; Urteil des Obergerichts des Kantons Aargau vom 19. September 2013). In Anbetracht der sich über rund acht Jahren erstreckenden intensiven deliktischen Entwicklung, die durch zunehmend schwerere, sich gegen hochwertige Rechtsgüter richtende Straftaten geprägt war, sowie der Tatsache, dass sich der Beschwerdeführer weder von Vorstrafen, erstandener Untersuchungshaft und Probezeiten noch von ausländerrechtlichen Ermahnungen von seinem Tun abhalten liess, kann kein ernsthafter Zweifel daran bestehen, dass von ihm eine schwerwiegende Gefahr für die öffentliche Sicherheit und Ordnung im Sinne von Art. 67 Abs. 3 AuG ausgeht. Dass sich diese Gefahrenprognose auch auf Urteile stützt, die nicht mehr im Strafregister verzeichnet sind, ist entgegen der Auffassung des Beschwerdeführers nicht zu beanstanden (vgl. Urteil des BGer 2C_570/2014 vom 26. November 2014 E. 5.3 m.H.). Die Regelmaximaldauer eines Einreiseverbots von fünf Jahren gelangt daher nicht zur Anwendung.</w:t>
      </w:r>
    </w:p>
    <w:p>
      <w:r>
        <w:rPr>
          <w:b/>
        </w:rPr>
        <w:t>E. 5.2</w:t>
      </w:r>
    </w:p>
    <w:p>
      <w:r>
        <w:t>Das Bundesverwaltungsgericht übersieht bei der Bejahung einer schwerwiegenden Gefahr für die öffentliche Sicherheit und Ordnung im Sinne von Art. 67 Abs. 3 AuG nicht, dass sich der Beschwerdeführer nach seiner letzten Straftat am 21. Juni 2012 offenbar wohlverhielt. Allerdings ist dieser Umstand wesentlich darauf zurückzuführen, dass dem Beschwerdeführer zum einen mit Verfügung des Migrationsamts vom 2. November 2012 die Niederlassungsbewilligung widerrufen worden ist, und somit sein weiteres Anwesenheitsrecht hierzulande aufgrund des Weiterzugs an höhere Instanzen ungewiss war, und zum anderen, dass der Beschwerdeführer zwischen dem 3. Januar 2013 und dem 15. Mai 2015 seine mehrjährige Freiheitsstrafe verbüsste und anschliessend in den Kosovo ausgeschafft worden ist. Auch wenn das Gericht seine Bemühung anerkennt, sich im Strafvollzug weiterzubilden, ist zu vermerken, dass gegen den Beschwerdeführer im Strafvollzug vier Disziplinarmassnahmen ausgesprochen werden mussten, was sein Vorbringen, er habe sich im Strafvollzug vorbildlich verhalten, erheblich relativiert. Weder die Berichte zum Verhalten und zur Entwicklung des Beschwerdeführers im Rahmen des Strafvollzugs noch seine Zahlung einer Spende über Fr. 5'000.- (vgl. Sachverhalt Bst. G) vermögen die Gefahrenprognose entscheidend zu seinen Gunsten zu beeinflussen. Zum einen lässt selbst eine tadellose Führung während des engmaschig betreuten und überwachten Straf- bzw. Massnahmenvollzugs keine verlässlichen Schlüsse auf das Verhalten in Freiheit zu (BGE 137 II 233 E. 5.2.2). Zum anderen erscheint die seit der Entlassung vergangene Zeit angesichts des schwer belasteten Vorlebens des Beschwerdeführers als zu kurz, als dass von einer grundsätzlichen persönlichen Wandlung ausgegangen werden könnte. Nicht ausser Acht gelassen werden darf, dass die Probezeit erst am 4. August 2016 abgelaufen ist. Dies gilt umso mehr, als bei schweren Betäubungsmitteldelikten, derer sich der Beschwerdeführer unter anderem schuldig machte, selbst ein geringes Restrisiko eines Rückfalls nicht in Kauf genommen werden muss, und über die Entwicklung seiner Lebensumstände nach der Ausreise aus der Schweiz im Mai 2015 wenig und vor allem nichts Konkretes bekannt ist.</w:t>
      </w:r>
    </w:p>
    <w:p>
      <w:r>
        <w:rPr>
          <w:b/>
        </w:rPr>
        <w:t>E. 5.3</w:t>
      </w:r>
    </w:p>
    <w:p>
      <w:r>
        <w:t>Als Zwischenergebnis ist - entgegen der Auffassung des Rechtsvertreters - festzustellen, dass der Beschwerdeführer zum heutigen Zeitpunkt den qualifizierten Fernhaltegrund einer schwerwiegenden Gefährdung der öffentlichen Sicherheit und Ordnung im Sinne von Art. 67 Abs. 3 zweiter Satz AuG erfüllt. Das gegen ihn verhängte Einreiseverbot darf damit die Dauer von fünf Jahren überschreiten.</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Vom Beschwerdeführer geht, wie weiter oben ausgeführt, eine schwerwiegende Gefährdung der öffentlichen Sicherheit und Ordnung in einem besonders sensitiven Bereich aus. Dementsprechend gross ist das öffentliche Interesse an einer langfristigen Fernhaltung (vgl. BVGE 2013/4 E. 5.2 und 7.2). Leicht zu Gunsten des Beschwerdeführers spricht immerhin, dass die letzten Straftaten rund fünf Jahre zurückliegen und er sich seither - soweit bekannt - wohlverhalten hat.</w:t>
      </w:r>
    </w:p>
    <w:p>
      <w:r>
        <w:rPr>
          <w:b/>
        </w:rPr>
        <w:t>E. 6.3</w:t>
      </w:r>
    </w:p>
    <w:p>
      <w:r>
        <w:t>Zu den Vorbringen des Beschwerdeführers zu seinen privaten Interessen ist im Wesentlichen auf das vorne Ausgeführte zu verweisen (vgl. Sachverhalt Bst. G). Er wiederholt weitgehend seine Argumente aus dem Verfahren auf Widerruf der Niederlassungsbewilligung. Er beruft sich auf seinen langen Aufenthalt in der Schweiz, wohin er im Alter von 11 Jahren übersiedelte und wo er seine prägenden Jungendjahre verbracht habe, sowie die damit einhergehende Integration. Im Gegensatz dazu habe er zum Kosovo, seinem Heimatland, das er lediglich aus vereinzelten früheren Besuchen kenne, praktisch keinen Bezug mehr. In der Schweiz lebten auch seine Geschwister, seine Eltern und seine Ehefrau.</w:t>
      </w:r>
    </w:p>
    <w:p>
      <w:r>
        <w:rPr>
          <w:b/>
        </w:rPr>
        <w:t>E. 6.4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und erfolglosem Verfahren vor dem Bundesgericht (BGer 2C_28/2014) verlassen. Die Wohnsitznahme in der Schweiz wie auch die Pflege regelmässiger persönlicher Kontakte zu seinen in der Schweiz lebenden Familienmitgliedern scheitern daher grundsätzlich bereits an einem fehlenden Aufenthaltsrecht. Eine allfällige neue Bewilligung im Rahmen des Familiennachzugs ist nicht Gegenstand dieses Verfahrens. Hierfür ist der Kanton zuständig, wobei das Einreiseverbot im Falle einer Bewilligungserteilung aufzuheben wäre (vgl. Urteil des BVGer C-4941/2008 vom 23. November 2009 E. 7.3 m.H.). Dem Beschwerdeführer ist daher im Rahmen des vorliegenden Verfahrens der Einwand verwehrt, es sei ihm aus dem einen oder anderen Grund nicht zuzumuten, auf Dauer in einem anderen Land zu leben als der Schweiz.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kosovarische Staatsangehörige geltenden Einreisebestimmungen ausgenommen und einem besonderen, mit dem Einreiseverbot einhergehenden Kontrollregime unterworfen wird. Das heisst, dass er für bewilligungsfreie Kurzaufenthalte in der Schweiz nicht nur eines Visums bedarf, wie es kosovarische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bzw. auf andere Weise als durch persönliche Treffen sind von der Massnahme nicht beeinträchtigt (vgl. zum Ganzen BVGE 2014/20 E. 8.3.4 m.H.).</w:t>
      </w:r>
    </w:p>
    <w:p>
      <w:r>
        <w:rPr>
          <w:b/>
        </w:rPr>
        <w:t>E. 6.5</w:t>
      </w:r>
    </w:p>
    <w:p>
      <w:r>
        <w:t>Zu den privaten Interessen ist zu bemerken, dass der Beschwerdeführer zwar zwischen seinem 11. und seinem 29. Lebensjahr in der Schweiz lebte und hier somit die für Jugendliche bzw. junge Erwachsene prägenden Jahre verbrachte. Gleichwohl kann angesichts der Missachtung der hiesigen Rechtsordnung, die er über einen Zeitraum von rund acht Jahren an den Tag legte, nicht von einer erfolgreichen Integration ausgegangen werden (vgl. dazu etwa Art. 4 Bst. a der Verordnung vom 24. Oktober 2007 über die Integration von Ausländerinnen und Ausländern [VIntA, SR 142.205]). Darauf wies bereits das Bundesgericht in seinem Urteil vom 21. Juli 2014 zu Recht hin. Hinsichtlich der Ehefrau des Beschwerdeführers bleibt zu bemerken, dass offenbar nie ein eheliches Zusammenleben bestand (vgl. Urteil des BGer 2C_28/2014 Sachverhalt B und E. 4.2, 5.3 und 7.3).</w:t>
      </w:r>
    </w:p>
    <w:p>
      <w:r>
        <w:rPr>
          <w:b/>
        </w:rPr>
        <w:t>E. 6.6</w:t>
      </w:r>
    </w:p>
    <w:p>
      <w:r>
        <w:t>Trotz der vorstehenden Einschränkungen und Relativierungen ist nicht zu verkennen, dass das mit dem Einreiseverbot verbundene besondere Kontrollregime den Beschwerdeführer erheblich trifft. Diese Betroffenheit vermag jedoch das öffentliche Interesse an einer längerfristigen Fernhaltung des Beschwerdeführers nicht entscheidend zurückzudrängen. Eine wertende Gewichtung der sich gegenüberstehenden Interessen führt das Bundesverwaltungsgericht vielmehr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von 8 Jahren Dauer einhergehende Erschwerung der familiären und privaten Kontakte zur Schweiz, soweit sie unter den Schutz von Art. 8 Ziff. 1 EMRK bzw. Art. 13 Abs. 1 BV fallen, im Sinne von Art. 8 Ziff. 2 EMRK bzw. Art. 36 BV gerechtfertigt ist.</w:t>
      </w:r>
    </w:p>
    <w:p>
      <w:r>
        <w:rPr>
          <w:b/>
        </w:rPr>
        <w:t>E. 7</w:t>
      </w:r>
    </w:p>
    <w:p>
      <w:r>
        <w:t>Zu prüfen bleibt die von der Vorinstanz angeordnete Ausschreibung des Einreiseverbots im SIS II.</w:t>
      </w:r>
    </w:p>
    <w:p>
      <w:r>
        <w:rPr>
          <w:b/>
        </w:rPr>
        <w:t>E. 7.1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7.2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 Der Kontakt zu seinen Onkeln und Tanten im Schengen-Raum kann er mit Hilfe der sozialen Medien pflegen. Zudem kann er seine Verwandte ausserhalb des Schengen-Raums sehen, wobei diese ihn gegebenenfalls im Kosovo besuchen können.</w:t>
      </w:r>
    </w:p>
    <w:p>
      <w:r>
        <w:rPr>
          <w:b/>
        </w:rPr>
        <w:t>E. 7.4</w:t>
      </w:r>
    </w:p>
    <w:p>
      <w:r>
        <w:t>Dem Gesagten nach ist somit auch die Ausschreibung im SIS II rechtens.</w:t>
      </w:r>
    </w:p>
    <w:p>
      <w:r>
        <w:rPr>
          <w:b/>
        </w:rPr>
        <w:t>E. 8</w:t>
      </w:r>
    </w:p>
    <w:p>
      <w:r>
        <w:t>Aus den vorstehenden Erwägungen ergibt sich, dass das auf acht Jahre befristete Einreiseverbot sowie die Ausschreibung im SIS II im Lichte von Art. 49 VwVG nicht zu beanstanden ist. Die Beschwerde ist demzufolge abzuweisen.</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