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F-4313/2019 vom 14. Februar 2020</w:t>
      </w:r>
    </w:p>
    <w:p>
      <w:r>
        <w:t>Bundesverwaltungsgericht, 2020-02-14, DE</w:t>
      </w:r>
    </w:p>
    <w:p>
      <w:r>
        <w:rPr>
          <w:b/>
        </w:rPr>
        <w:t xml:space="preserve">Quelle: </w:t>
      </w:r>
      <w:r>
        <w:t>https://mcp.opencaselaw.ch/entscheid/bvger_F-4313_2019</w:t>
      </w:r>
    </w:p>
    <w:p>
      <w:r>
        <w:t>FR: TAF F-4313/2019 du 14 février 2020</w:t>
      </w:r>
    </w:p>
    <w:p>
      <w:r>
        <w:t>IT: TAF F-4313/2019 del 14 febbraio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die angefochtene Verfügung besonders berührt. Obwohl der fest anberaumte Besuchszeitraum inzwischen abgelaufen ist, muss auf ein fortbestehendes Rechtsschutzinteresse geschlossen werden. Dies belegt allein schon die Einreichung des Rechtsmittels. Der Beschwerdeführer ist daher zur Erhebung des Rechtsmittels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Der angefochtenen Verfügung liegt das Gesuch einer dominikanischen Staatsangehörigen um Erteilung eines Visums zu Besuchszwecken für die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in Kraft seit dem 15. September 2018; vgl. auch Art. 2 Ziff. 6 SGK; Art. 5 Abs. 1 Bst. a AIG). Als dominikanische Staatsangehörige unterliegt die Gesuchstellerin unbestrittenermassen der Visumspflicht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 Urteil des BVGer F-7617/2016 vom 12. März 2018 E. 4.1).</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w:t>
      </w:r>
    </w:p>
    <w:p>
      <w:r>
        <w:t>Die Vorinstanz begründet vorliegend die Abweisung der Einsprache im Wesentlichen mit der nicht gesicherten Wiederausreise der Gesuchstellerin.</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Die Dominikanische Republik verzeichnete in den letzten Jahren ein starkes Wirtschaftswachstum und erreichte zwischen 1993 und 2018 mit durchschnittlich 5,3% jährlich eine der höchsten Raten in Lateinamerika und der Karibik. Angetrieben von einer stabilen Inlandnachfrage betrug das Wachstum zuletzt gar 7%. Die Einkommensverteilung präsentiert sich allerdings weiterhin sehr ungleich, da sich das Wachstum nicht in einer breiten gesamtgesellschaftlichen Wohlstandsentwicklung manifestiert. Die Armutsrate ist nach wie vor hoch und liegt gemäss der letzten Datenerhebung der Weltbank bei über 30%. Somit ist immer noch eine breite Bevölkerungsschicht von vergleichsweise schwierigen wirtschaftlichen Lebensbedingungen betroffen. Der Arbeitsmarkt kennzeichnet sich durch eine anhaltende Arbeitslosigkeit sowie niedrige Löhne. Die schlechten Aussichten auf dem heimischen Arbeitsmarkt sind mitunter ein Grund für die hohe Auswanderungsrate. Sofern die Dominikanische Republik ihr Ziel, von der Weltbank als «high-income country» klassifiziert zu werden, erreichen will, bedarf es künftig unter anderem Verbesserungen im Bereich der Verwaltung der natürlichen Ressourcen sowie der Widerstandsfähigkeit gegen Katastrophen und klimabedingte Risiken (vgl. zum Ganzen «www.worldbank.org» &gt; Where We Work &gt; Dominican Republic &gt; Overview, Stand: 25. September 2019; «www.data.worldbank.org» &gt; Indicator &gt; Poverty &amp; Equity Data &gt; Dominican Republic, Stand: Oktober 2019; World Bank Group, Dominican Republic, Systematic Country Diagnostic, Juni 2018; jeweils besucht im Januar 2020).</w:t>
      </w:r>
    </w:p>
    <w:p>
      <w:r>
        <w:rPr>
          <w:b/>
        </w:rPr>
        <w:t>E. 5.3</w:t>
      </w:r>
    </w:p>
    <w:p>
      <w:r>
        <w:t>Vor diesem Hintergrund ist nicht zu beanstanden, dass die Vorinstanz das Risiko einer nicht fristgerechten Wiederausreise von Besucherinnen und Besuchern aus der Dominikanischen Republik als grundsätzlich sehr hoch einschätzt.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die weiteren Umstände ebenfalls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5.4</w:t>
      </w:r>
    </w:p>
    <w:p>
      <w:r>
        <w:t>Bei der Gesuchstellerin handelt es sich um eine 41-jährige, ledige Mutter zweier Kinder im Alter von vier und zehn Jahren. Als alleinerziehende Mutter von zwei Kindern dürfte die Gesuchstellerin durchaus familiäre Verpflichtungen im Heimatland haben. Das Zurücklassen minderjähriger Kinder bildet für sich allein aber noch keine Garantie für eine anstandslose und fristgerechte Wiederausreise nach einem Besuchsaufenthalt. Die Erfahrung zeigt, dass es in der Regel vielmehr die individuell herrschenden wirtschaftlichen und sozialen Verhältnisse sind, die letztlich über Rückkehr oder Verbleib im Ausland entscheiden. Dass eine Familie vorübergehend getrennt wird, wird je nach Interessenlage in Kauf genommen. Dies umso eher, wenn - wie der Beschwerde entnommen werden kann - die Betreuung der Kinder durch nahe Angehörige (in casu deren leiblicher Vater und dessen Eltern) sichergestellt werden kann und die Möglichkeit besteht, die Kinder, für welche die Gesuchstellerin die elterliche Sorge und Obhut innehat, später nachziehen zu können (vgl. Urteil des BVGer F-1520/2019 vom 16. Oktober 2019 E. 8.1). Auf Beschwerdeebene wird erstmals geltend gemacht, dass der sehbehinderte Vater sowie die betagte Mutter der Gesuchstellerin auf ihre Hilfe angewiesen seien (BVGer act. 1). Diese Ausführungen sind beweismässig nicht belegt. Angesichts des vorgesehenen längeren Besuchsaufenthalts der Gesuchstellerin in der Schweiz sowie des Vorbringens, dass sich der leibliche Vater ihrer Kinder sowie dessen Eltern während ihrer Abwesenheit um ihre Eltern kümmern, darf ohnehin davon ausgegangen werden, die Betreuung der Eltern sei auch ohne die dauerhafte Anwesenheit der Gesuchstellerin gewährleistet. Die familiären und persönlichen Verpflichtungen sind daher nicht so beschaffen, dass sie die Gesuchstellerin in nachhaltiger Weise von einer Emigration abhalten könnten.</w:t>
      </w:r>
    </w:p>
    <w:p>
      <w:r>
        <w:rPr>
          <w:b/>
        </w:rPr>
        <w:t>E. 5.5</w:t>
      </w:r>
    </w:p>
    <w:p>
      <w:r>
        <w:t>Aufgrund dieser Ausgangslage ist der wirtschaftlichen Situation der Gesuchstellerin ein besonderes Augenmerk zu widmen. Gemäss ihren Angaben im Antrag auf Erteilung eines Schengen-Visums arbeitet sie als Sekretärin in einer [...] (SEM act. 3/34). Ein Schreiben des Arbeitgebers bestätigt, dass die Gesuchstellerin seit rund zwei Jahren [...] beschäftigt ist (SEM act. 3/23). Gemäss den Lohnauszügen von April bis Juli 2019 erzielte sie monatlich ein Einkommen von DOP 12'000.- (ca. Fr. 219.-; Beilagen zu BVGer act. 1). Die ausgewiesenen Einkünfte liegen unter dem monatlichen Durchschnittseinkommen in der Dominikanischen Republik, welches umgerechnet bei rund Fr. 337.- liegt (vgl. «www.numbeo.com» Lebenshaltungskosten Dominikanische Republik, Stand: Januar 2020, besucht im Januar 2020). In den Akten finden sich keine weiteren Belege oder Nachweise hinsichtlich ihrer Vermögensverhältnisse. Vor diesem Hintergrund kann nicht davon ausgegangen werden, die Gesuchstellerin lebe in wirtschaftlich günstigen oder privilegierten Verhältnissen, welche sie verlässlich von einer Emigration abzuhalten vermöchten.</w:t>
      </w:r>
    </w:p>
    <w:p>
      <w:r>
        <w:rPr>
          <w:b/>
        </w:rPr>
        <w:t>E. 6</w:t>
      </w:r>
    </w:p>
    <w:p>
      <w:r>
        <w:t>Schliesslich macht der Beschwerdeführer geltend, die Vorinstanz sei bei der Entscheidfindung fälschlicherweise davon ausgegangen, dass der Gesuchstellerin keine familiären Verpflichtungen oblägen. Sie sei vor Erlass der Verfügung lediglich gefragt worden, ob sie Kinder habe. Wer die Betreuung der Kinder während ihrer Abwesenheit wahrnehme und welche sonstigen familiären Verpflichtungen sie habe, sei nicht angesprochen worden (BVGer act. 1). Den Akten lässt sich jedoch entnehmen, dass der Beschwerdeführer anlässlich der Inlandabklärung gefragt wurde, welche Verpflichtungen sein Gast im Herkunftsland habe und aus welchen Gründen er fristgerecht dahin zurückkehren werde (SEM act. 7/49). Das SEM ging in seiner Verfügung vom 31. Juli 2019 denn auch von gewissen familiären Verpflichtungen der Gesuchstellerin in ihrem Heimatland aus, relativierte diese hingegen aufgrund der geplanten 45-tägigen Auslandabwesenheit.</w:t>
      </w:r>
    </w:p>
    <w:p>
      <w:r>
        <w:rPr>
          <w:b/>
        </w:rPr>
        <w:t>E. 7</w:t>
      </w:r>
    </w:p>
    <w:p>
      <w:r>
        <w:t>Vor dem dargelegten allgemeinen und persönlichen Hintergrund der Gesuchstellerin durfte die Vorinstanz davon ausgehen, die Wiederausreise der Eingeladenen sei im Sinne der massgeblichen Bestimmungen nicht gesichert. An der Richtigkeit dieser Einschätzung ändert auch die Tatsache nichts, dass die Gesuchstellerin eine Ausreisebestätigung und der Beschwerdeführer eine Verpflichtungserklärung abgegeben und damit sein Vertrauen in ein rechtskonformes Verhalten seines Gastes zum Ausdruck gebracht hat (Beilagen zu BVGer act. 1 und SEM act. 7/51). Auch wenn der Wunsch des Beschwerdeführers, die Gesuchstellerin in die Schweiz einzuladen, verständlich ist, gilt es zu bedenken, dass bei der Risikobeurteilung in erster Linie das mögliche Verhalten des Gastes selbst von Bedeutung ist. Gastgeber können mit rechtlich verbindlicher Wirkung zwar für gewisse finanzielle Risiken im Zusammenhang mit dem Besuchsaufenthalt, nicht aber für ein bestimmtes Tun oder Unterlassen ihres Gastes einstehen (vgl. in diesem Zusammenhang auch BVGE 2009/27 E. 9). Mit diesen Ausführungen fehlt es an einer unabdingbaren Voraussetzung für die Erteilung eines einheitlichen Visums für den Schengen-Raum.</w:t>
      </w:r>
    </w:p>
    <w:p>
      <w:r>
        <w:rPr>
          <w:b/>
        </w:rPr>
        <w:t>E. 8</w:t>
      </w:r>
    </w:p>
    <w:p>
      <w:r>
        <w:t>Gestützt auf die obigen Erwägungen ist die angefochtene Verfügung im Lichte von Art. 49 VwVG nicht zu beanstanden. Die Beschwerde ist daher abzuweisen.</w:t>
      </w:r>
    </w:p>
    <w:p>
      <w:r>
        <w:rPr>
          <w:b/>
        </w:rPr>
        <w:t>E. 9</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