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F-4305/2021 vom 17. Januar 2022</w:t>
      </w:r>
    </w:p>
    <w:p>
      <w:r>
        <w:t>Bundesverwaltungsgericht, 2022-01-17, IT</w:t>
      </w:r>
    </w:p>
    <w:p>
      <w:r>
        <w:rPr>
          <w:b/>
        </w:rPr>
        <w:t xml:space="preserve">Quelle: </w:t>
      </w:r>
      <w:r>
        <w:t>https://mcp.opencaselaw.ch/entscheid/bvger_F-4305_2021</w:t>
      </w:r>
    </w:p>
    <w:p>
      <w:r>
        <w:t>FR: TAF F-4305/2021 du 17 janvier 2022</w:t>
      </w:r>
    </w:p>
    <w:p>
      <w:r>
        <w:t>IT: TAF F-4305/2021 del 17 gennaio 2022</w:t>
      </w:r>
    </w:p>
    <w:p>
      <w:pPr>
        <w:pStyle w:val="Heading2"/>
      </w:pPr>
      <w:r>
        <w:t>Regeste</w:t>
      </w:r>
    </w:p>
    <w:p>
      <w:r>
        <w:t>dopo lo scioglimento della comunità familiare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si prelevano spese processuali nella procedura F-2790/2019.</w:t>
      </w:r>
    </w:p>
    <w:p>
      <w:r>
        <w:rPr>
          <w:b/>
        </w:rPr>
        <w:t>E. 2</w:t>
      </w:r>
    </w:p>
    <w:p>
      <w:r>
        <w:t>Un'indennità per spese ripetibili di fr. 2'000.- nella procedura F-2790/2019 è assegnata alla ricorrente, a carico della SEM.</w:t>
      </w:r>
    </w:p>
    <w:p>
      <w:r>
        <w:rPr>
          <w:b/>
        </w:rPr>
        <w:t>E. 3</w:t>
      </w:r>
    </w:p>
    <w:p>
      <w:r>
        <w:t>Non si prelevano spese processuali e non si attribuiscono indennità per spese ripetibili nella presente procedura.</w:t>
      </w:r>
    </w:p>
    <w:p>
      <w:r>
        <w:rPr>
          <w:b/>
        </w:rPr>
        <w:t>E. 4</w:t>
      </w:r>
    </w:p>
    <w:p>
      <w:r>
        <w:t>Comunicazione: - alla ricorrente (atto giudiziario); - alla SEM (n. di rif. ...). I rimedi giuridici sono menzionati alla pagina seguente. Il presidente del collegio: Il cancelliere: Daniele Cattaneo Dario Quirici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