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F-4299/2020 vom 15. Juni 2021</w:t>
      </w:r>
    </w:p>
    <w:p>
      <w:r>
        <w:t>Bundesverwaltungsgericht, 2021-06-15, FR</w:t>
      </w:r>
    </w:p>
    <w:p>
      <w:r>
        <w:rPr>
          <w:b/>
        </w:rPr>
        <w:t xml:space="preserve">Quelle: </w:t>
      </w:r>
      <w:r>
        <w:t>https://mcp.opencaselaw.ch/entscheid/bvger_F-4299_2020</w:t>
      </w:r>
    </w:p>
    <w:p>
      <w:r>
        <w:t>FR: TAF F-4299/2020 du 15 juin 2021</w:t>
      </w:r>
    </w:p>
    <w:p>
      <w:r>
        <w:t>IT: TAF F-4299/2020 del 15 giugno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le délai prescrits par la loi, le recours est recevable (cf.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(art. 67 al. 3 1ère phrase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 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3.3</w:t>
      </w:r>
    </w:p>
    <w:p>
      <w:r>
        <w:t>L'interdiction d'entrée au sens du droit des étrangers vise à empêcher l'entrée ou le retour d'un étranger dont le séjour en Suisse est indésirable (cf., notamment, arrêt du TF 6B_173/2013 du 19 août 2013 consid. 2.3 ; ATAF 2017 VII/2 consid. 4.4 et les réf. cit.).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3.4</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ATAF 2017 VII/2 consid. 6.2 et les réf. cit.), justifiant en soi le prononcé d'une interdiction d'entrée de plusieurs années, soit pouvant aller généralement d'un à quatre ans (cf., notamment, arrêt du TAF F-8373/2015 du 29 octobre 2019 consid. 5.4 et les réf. cit.).</w:t>
      </w:r>
    </w:p>
    <w:p>
      <w:r>
        <w:rPr>
          <w:b/>
        </w:rPr>
        <w:t>E. 3.5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4.1</w:t>
      </w:r>
    </w:p>
    <w:p>
      <w:r>
        <w:t>En l'occurrence, l'autorité inférieure a retenu que l'intéressé avait été condamné une première fois, en juillet 2015, pour faux dans les certificats ainsi qu'entrée et séjour illégaux et activité lucrative sans autorisation. Il avait en outre fait l'objet d'une première interdiction d'entrée de trois ans, prononcée le 6 avril 2017, qui lui avait été notifiée le 24 octobre 2017. Or, suite à cette mesure, le recourant avait fait l'objet de trois condamnations supplémentaires entre juin 2017 et novembre 2019. Bien que se sachant sous le coup d'une mesure d'éloignement, l'intéressé avait ainsi persisté à enfreindre l'ordre juridique suisse, en entrant et séjournant illégalement sur le territoire helvétique et en y exerçant des activités lucratives sans être au bénéfice des autorisations requises. Aucun intérêt privé susceptible de l'emporter sur l'intérêt public à ce que ses entrées en Suisse et dans l'Espace Schengen soient dorénavant contrôlées ne ressortait par ailleurs du dossier.</w:t>
      </w:r>
    </w:p>
    <w:p>
      <w:r>
        <w:rPr>
          <w:b/>
        </w:rPr>
        <w:t>E. 4.2</w:t>
      </w:r>
    </w:p>
    <w:p>
      <w:r>
        <w:t>Dans son courrier du 19 août 2020, valant mémoire de recours, l'intéressé a déclaré qu'il était prêt à remplir toutes les obligations juridiques et financières envers l'Etat suisse. Il a exposé qu'il avait été forcé de quitter son pays, le Kosovo, afin de trouver une vie meilleure pour lui-même et sa famille (l'intéressé étant, selon les pièces au dossier, célibataire, il s'agirait de ses parents et de ses frères et soeurs). C'était la situation socio-économique difficile dans son pays qui l'avait obligé à entrer et à travailler en Suisse pour assurer sa propre existence et celle de sa famille. Il a ajouté qu'il n'avait pas de casier judiciaire dans son pays ou dans l'Espace Schengen, à l'exception des condamnations relevées dans la décision d'interdiction d'entrée.</w:t>
      </w:r>
    </w:p>
    <w:p>
      <w:r>
        <w:rPr>
          <w:b/>
        </w:rPr>
        <w:t>E. 5</w:t>
      </w:r>
    </w:p>
    <w:p>
      <w:r>
        <w:t>Dans un premier temps, il convient d'examiner si le prononcé d'une interdiction d'entrée en Suisse et au Liechtenstein est justifié dans son principe. A ce titre, le Tribunal retient ce qui suit :</w:t>
      </w:r>
    </w:p>
    <w:p>
      <w:r>
        <w:rPr>
          <w:b/>
        </w:rPr>
        <w:t>E. 5.1</w:t>
      </w:r>
    </w:p>
    <w:p>
      <w:r>
        <w:t>L'intéressé a fait l'objet de quatre condamnations pénales en Suisse, ayant toutes porté sur des infractions de police des étrangers (cf. let. A.a. et B supra). Le recourant a fait, en outre, l'objet d'une première interdiction d'entrée de trois ans, valable du 6 avril 2017 au 5 avril 2020, qui lui a été notifiée le 24 octobre 2017 par la police vaudoise, alors qu'il était revenu illégalement en Suisse le 22 octobre 2017 (cf. act. SEM 8 p. 30 et 16 p. 85 ss). L'avant-dernière des quatre condamnations susmentionnées concerne d'ailleurs cette entrée illégale, le 22 octobre 2017, et le séjour illégal, du 22 au 24 octobre 2017 (cf. act. SEM 17 p. 94 et 14 p. 53 ss). Alors que la première interdiction d'entrée déployait toujours ses effets, l'intéressé est revenu en Suisse, en janvier 2019, pour y séjourner et y travailler illégalement jusqu'au 1er octobre 2019, infractions pour lesquelles il a été sanctionné par la quatrième ordonnance pénale prononcée à son encontre, le 14 novembre 2019 (cf. act. SEM 17 p. 94 et 15 p. 56 s.).</w:t>
      </w:r>
    </w:p>
    <w:p>
      <w:r>
        <w:rPr>
          <w:b/>
        </w:rPr>
        <w:t>E. 5.2</w:t>
      </w:r>
    </w:p>
    <w:p>
      <w:r>
        <w:t>Au vu de ce qui précède, il y a lieu de conclure que l'intéressé, qui a enfreint à plusieurs reprises les prescriptions en matière de police des étrangers et qui n'a pas respecté la première décision d'interdiction d'entrée prononcée à son encontre pour une durée de trois ans, a attenté à la sécurité et à l'ordre publics en Suisse au sens de l'art. 67 al. 2 let. a LEI. Aussi, la mesure d'interdiction d'entrée prononcée le 15 juillet 2020 est-elle justifiée dans son principe.</w:t>
      </w:r>
    </w:p>
    <w:p>
      <w:r>
        <w:rPr>
          <w:b/>
        </w:rPr>
        <w:t>E. 5.3</w:t>
      </w:r>
    </w:p>
    <w:p>
      <w:r>
        <w:t>Ayant fixé la durée de la nouvelle interdiction d'entrée à cinq ans, le SEM n'a pas dépassé le cadre fixé par l'art. 67 al. 3 1ère phrase LEI, qui nécessite, pour un ressortissant d'Etat tiers, seulement l'existence d'une atteinte ou d'une mise en danger de l'ordre et de la sécurité publics (« palier I » ; cf. ATF 139 II 121 consid. 6.1).</w:t>
      </w:r>
    </w:p>
    <w:p>
      <w:r>
        <w:rPr>
          <w:b/>
        </w:rPr>
        <w:t>E. 5.3.1</w:t>
      </w:r>
    </w:p>
    <w:p>
      <w:r>
        <w:t>Il sied encore d'examiner si la mesure d'éloignement querellée satisfait aux principes de la proportionnalité et d'égalité de traitement.</w:t>
      </w:r>
    </w:p>
    <w:p>
      <w:r>
        <w:rPr>
          <w:b/>
        </w:rPr>
        <w:t>E. 5.3.2</w:t>
      </w:r>
    </w:p>
    <w:p>
      <w:r>
        <w:t>Quant au principe de la proportionnalité (cf., à ce sujet, ATF 136 IV 97 consid. 5.2.2 ; 133 I 110 consid. 7.1 ; voir également Thierry Tanquerel, Manuel de droit administratif, Genève/Zurich/Bâle 2011, p. 187ss, p. 199ss et p. 204ss et Pierre Moor et al., Droit administratif, vol. I, Berne 2012, p. 808ss, p. 838ss et p. 891ss), il est indéniable que l'éloignement de l'intéressé du territoire suisse est apte et nécessaire à atteindre le but visé, à savoir protéger l'ordre et la sécurité publics (cf. supra consid. 5.1 et 5.2).</w:t>
      </w:r>
    </w:p>
    <w:p>
      <w:r>
        <w:rPr>
          <w:b/>
        </w:rPr>
        <w:t>E. 5.3.3</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5.3.4</w:t>
      </w:r>
    </w:p>
    <w:p>
      <w:r>
        <w:t>Sans nier que la situation socio-économique au Kosovo est difficile et que de nombreux Kosovars sont amenés à quitter le pays pour subvenir à leurs besoins et à ceux de leur famille, ces circonstances ne sauraient justifier le non-respect des prescriptions en matière d'entrée, de séjour et d'exercice d'une activité lucrative en Suisse. Au vu du nombre élevé de contraventions commises dans ce domaine, les autorités suisses sont contraintes d'intervenir avec sévérité afin d'assurer la stricte application des prescriptions édictées en la matière. Il en va de l'intérêt de l'Etat à voir respecter l'ordre établi et la législation en vigueur (cf. arrêts du TAF F-8373/2015 précité consid. 5.4 in fine ; F-2677/2016 du 23 janvier 2017 consid. 7.2). Une pratique sévère des autorités en ce domaine se justifie également en vue de lutter contre le travail au noir en Suisse (cf., à ce sujet, ATF 141 II 57 consid. 5.3 et 7 ; arrêt du TAF F-8373/2015 précité consid. 5.4). En l'occurrence, c'est à plusieurs reprises que l'intéressé a commis des infractions en ce domaine et a été sanctionné par les autorités pénales suisses. Les peines pécuniaires prononcées (pour les deux dernières sans sursis) à l'encontre du recourant, de même que la première interdiction d'entrée n'ont toutefois pas suffi à éviter la récidive. On relèvera, à ce titre, que la dernière condamnation de l'intéressé ne remonte pas à très longtemps, soit novembre 2019. Dans ces circonstances, il existe un intérêt public important à tenir l'intéressé éloigné de Suisse pour une période prolongée.</w:t>
      </w:r>
    </w:p>
    <w:p>
      <w:r>
        <w:rPr>
          <w:b/>
        </w:rPr>
        <w:t>E. 5.3.5</w:t>
      </w:r>
    </w:p>
    <w:p>
      <w:r>
        <w:t>Quant aux intérêts privés de l'intéressé, il ne ressort pas du dossier que ce dernier dispose de membres de sa famille en Suisse ou d'une autre raison importante de s'y rendre. Bien que le recourant ait évoqué le fait qu'il avait une « copine » en Suisse, il n'a jamais communiqué son identité aux autorités (cf. act. SEM 16 p. 86 et 71). Ce sont donc uniquement des intérêts économiques - soit le souhait de pourvoir à ses besoins et à ceux de sa famille (c'est-à-dire ses parents et ses frères et soeurs) - dont le recourant s'est prévalu. A ce titre, il convient de relever que l'impossibilité du recourant d'exercer une activité lucrative en Suisse ne résulte pas de l'interdiction d'entrée litigieuse, mais découle du fait qu'il n'est pas titulaire d'une autorisation valable pour travailler sur le territoire helvétique. Il ne peut du reste pas invoquer la liberté économique (art. 27 Cst.) dans ce pays (cf. ATF 131 I 223 consid. 1.1 ; arrêts du TF 2C_531/2016 du 10 juin 2016 consid. 3 ; 2C_730/2014 du 24 novembre 2014 consid. 6).</w:t>
      </w:r>
    </w:p>
    <w:p>
      <w:r>
        <w:rPr>
          <w:b/>
        </w:rPr>
        <w:t>E. 5.3.6</w:t>
      </w:r>
    </w:p>
    <w:p>
      <w:r>
        <w:t>En conclusion, au vu du comportement récidiviste adopté par l'intéressé en Suisse, tel qu'exposé supra (consid. 5.1 et 5.2), et en l'absence d'un intérêt privé légitime, encore moins prépondérant de ce dernier à pouvoir entrer librement sur le territoire helvétique, il y a lieu de conclure que l'interdiction d'entrée prononcée par le SEM, le 15 juillet 2020, pour une durée de cinq ans, c'est-à-dire jusqu'au 14 juillet 2025, est une mesure proportionnée in casu, bien qu'elle se trouve à la limite supérieure du « palier I ».</w:t>
      </w:r>
    </w:p>
    <w:p>
      <w:r>
        <w:rPr>
          <w:b/>
        </w:rPr>
        <w:t>E. 6</w:t>
      </w:r>
    </w:p>
    <w:p>
      <w:r>
        <w:t>Dans sa décision du 15 juillet 2020, le SEM a en outre ordonné l'inscription de l'interdiction d'entrée dans le SIS II.</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(art. 3 let. d du règlement [CE] n° 1987/2006 du Parlement européen et du Conseil du 20 décembre 2006 sur l'établissement, le fonctionnement et l'utilisation du système d'information Schengen de deuxième génération [règlement SIS II, JO L 381/4 du 28 décembre 2006], en vigueur depuis le 9 avril 2013 [JO L 87/10 du 27 mars 2013]), cette personne est inscrite aux fins de non-admission dans le SIS II si le cas est suffisamment important pour justifier l'introduction du signalement dans ce système (art. 21 et 24 règlement SIS II, qui ont remplacé les anciens art. 94 par. 1 et 96 de la Convention d'application de l'accord de Schengen [CAAS, JO L 239 du 22 septembre 2000], ainsi qu'il ressort de l'art. 52 par. 1 règlement SIS II). Le signalement au SIS II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25 par. 1 CAAS, qui demeure applicable en vertu de l'art. 52 par. 1 règlement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règlement SIS II).</w:t>
      </w:r>
    </w:p>
    <w:p>
      <w:r>
        <w:rPr>
          <w:b/>
        </w:rPr>
        <w:t>E. 6.2</w:t>
      </w:r>
    </w:p>
    <w:p>
      <w:r>
        <w:t>En l'occurrence, ce signalement est entièrement justifié par les faits retenus (cf. art. 21 en relation avec l'art. 24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Il l'est d'autant plus que la Suisse, dans le champ d'application des règles de Schengen, se doit de préserver les intérêts de tous les Etats parties aux accords d'association à Schengen (cf. ATAF 2011/48 consid. 6.1).</w:t>
      </w:r>
    </w:p>
    <w:p>
      <w:r>
        <w:rPr>
          <w:b/>
        </w:rPr>
        <w:t>E. 7</w:t>
      </w:r>
    </w:p>
    <w:p>
      <w:r>
        <w:t>Il ressort de ce qui précède que, par sa décision du 15 juillet 2020, l'autorité inférieure n'a ni violé le droit fédéral, ni constaté des faits pertinents de manière inexacte ou incomplète ; en outre, la décision attaquée n'est pas inopportune (cf. art. 49 PA). En conséquence, le recours est rejeté.</w:t>
      </w:r>
    </w:p>
    <w:p>
      <w:r>
        <w:rPr>
          <w:b/>
        </w:rPr>
        <w:t>E. 8</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n'ayant pas eu gain de cause, il ne lui est pas alloué de dépens (cf. art. 64 al. 1 PA a contrario et art. 7 al. 1 FITAF a contrario).</w:t>
      </w:r>
    </w:p>
    <w:p>
      <w:r>
        <w:rPr>
          <w:b/>
        </w:rPr>
        <w:t>E. 9</w:t>
      </w:r>
    </w:p>
    <w:p>
      <w:r>
        <w:t>L'intéressé n'ayant pas désigné une adresse de notification en Suisse, bien que le Tribunal l'ait expressément invité à le faire et l'ait rendu attentif aux conséquences du défaut d'une telle adresse (cf. act. TAF 3 et 8), le présent arrêt sera publié dans la Feuille Fédérale en vertu de l'art. 36 let. b PA. Une copie de l'arrêt lui sera toutefois envoyé par simple courrier postal par le biais de l'Ambassade de Suisse au Kosovo, cet envoi ne valant cependant pas notification.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