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F-4296/2023 vom 15. August 2023</w:t>
      </w:r>
    </w:p>
    <w:p>
      <w:r>
        <w:t>Bundesverwaltungsgericht, 2023-08-15, DE</w:t>
      </w:r>
    </w:p>
    <w:p>
      <w:r>
        <w:rPr>
          <w:b/>
        </w:rPr>
        <w:t xml:space="preserve">Quelle: </w:t>
      </w:r>
      <w:r>
        <w:t>https://mcp.opencaselaw.ch/entscheid/bvger_F-4296_2023</w:t>
      </w:r>
    </w:p>
    <w:p>
      <w:r>
        <w:t>FR: TAF F-4296/2023 du 15 août 2023</w:t>
      </w:r>
    </w:p>
    <w:p>
      <w:r>
        <w:t>IT: TAF F-4296/2023 del 15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Beschwerdeanhebung legitimiert (vgl. Art. 48 Abs. 1 VwVG). Auf die frist- und formgerecht eingereichte Beschwerde ist einzutreten (vgl.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zu zeigen sein wird - als offensichtlich begründet. Über sie ist daher in einzelrichterlicher Zuständigkeit mit Zustimmung eines zweiten Richters beziehungsweise einer zweiten Richterin zu befinden (Art. 111 Bst. e AsylG) und das Urteil ist summarisch zu begründen (Art. 111a Abs. 2 AsylG). Auf die Durchführung eines Schriftenwechsels wurde verzichtet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5.1</w:t>
      </w:r>
    </w:p>
    <w:p>
      <w:r>
        <w:t>Hat ein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Als Familienangehörige gelten gemäss Art. 2 Bst. g Dublin-III-VO der Ehegatte des Antragsstellers oder sein nicht verheirateter Partner, der mit ihm eine dauerhafte Beziehung führt, soweit nach dem Recht oder nach den Gepflogenheiten des betreffenden Mitgliedstaats nicht verheiratete Paare ausländerrechtlich vergleichbar behandelt werden wie verheiratete Paare. Praxisgemäss ist für die Beurteilung, ob jemand als Familienangehöriger im Sinne von Art. 9 Dublin-III-VO in Verbindung mit Art. 2 Bst. g Dublin-III-VO gilt, auf die Rechtsprechung zum Schutzbereich des grundrechtlichen Anspruchs auf Achtung des Familienlebens gemäss Art. 8 EMRK zurückzugreifen (vgl. anstatt vieler Urteil des BVGer D-2343/2023 vom 4. Mai 2023 E. 5.2 m.H.).</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5.3</w:t>
      </w:r>
    </w:p>
    <w:p>
      <w:r>
        <w:t>Der Beschwerdeführer brachte anlässlich des Dublin-Gesprächs vom 20. Juli 2023 als Hauptgrund gegen eine Wegweisung nach Kroatien vor, dass seine Verlobte mit einer B-Bewilligung für Flüchtlinge in der Schweiz lebe und er mit ihr zusammenleben wolle. Sie hätten sich vor zweieinhalb Jahren kennengelernt und seit eineinhalb Jahren seien sie verlobt. Sie hätten sich letztmals in der Türkei (über welche der Beschwerdeführer nach Europa gelangte), gesehen und würden seitdem viel zusammen telefonieren. Es gäbe auch Fotos von ihrem letzten Zusammentreffen. Er habe ein Tattoo auf seiner Brust, wo der Name seiner Verlobten mit einem Herz eintätowiert sei. Ein Ehevorbereitungsverfahren sei eingeleitet worden und die Eheschliessung würde in absehbarer Zeit erfolgen. Damit berief sich der Beschwerdeführer sinngemäss auf Art. 9 Dublin-III-VO.</w:t>
      </w:r>
    </w:p>
    <w:p>
      <w:r>
        <w:rPr>
          <w:b/>
        </w:rPr>
        <w:t>E. 5.4</w:t>
      </w:r>
    </w:p>
    <w:p>
      <w:r>
        <w:t>Die Vorinstanz forderte den Beschwerdeführer im Anschluss an das Dublin-Gespräch mit Schreiben vom 21. Juli 2023 auf, eine Bestätigung des zuständigen Zivilstandsamts einzureichen, dass er sich in einem Ehevorbereitungsverfahren befinde. Den in der Folge eingegangenen Schreiben des Regionalen Zivilstandsamts B._____ vom 25. Juni 2023 und 27. Juni 2023 lässt sich entnehmen, dass die Verlobte des Beschwerdeführers am 19. Juli 2023 Dokumente für die Ehevorbereitung eingereicht hat. Die Überprüfung der eingereichten Unterlagen werde, so das Zivilstandsamt, noch circa drei bis vier Wochen in Anspruch nehmen. Aus dem Antrag des Zivilstandsamts vom 27. Juli 2023 um Einsicht ins Asyldossier des Beschwerdeführers geht sodann hervor, dass das Zivilstandsamt Zweifel in Bezug auf die objektive Möglichkeit der Beschaffung der erforderlichen Dokumente hat.</w:t>
      </w:r>
    </w:p>
    <w:p>
      <w:r>
        <w:rPr>
          <w:b/>
        </w:rPr>
        <w:t>E. 5.5</w:t>
      </w:r>
    </w:p>
    <w:p>
      <w:r>
        <w:t>In ihrer Verfügung vom 28. Juli 2023 führte Vorinstanz aus, eine Berufung auf Art. 9 Dublin-III-VO falle von vornherein ausser Betracht, weil die Beziehung zwischen dem Beschwerdeführer und seiner Verlobten nicht bereits im Herkunftsland bestanden habe. Darüber hinaus sei zum jetzigen Zeitpunkt unklar, ob die für die Eheschliessung eingereichten Dokumente vollständig beziehungsweise rechtsgenüglich seien. Ein möglicher Trautermin sei nicht vorauszusagen und es könne nicht mit einem baldigen Abschluss des Verfahrens gerechnet werden. Das Ehevorbereitungsverfahren könne auch dann fortgeführt werden, wenn der Beschwerdeführer nicht in der Schweiz wohnhaft sei und stehe einer erforderlichen Überstellung nach Kroatien nicht im Wege.</w:t>
      </w:r>
    </w:p>
    <w:p>
      <w:r>
        <w:rPr>
          <w:b/>
        </w:rPr>
        <w:t>E. 5.6</w:t>
      </w:r>
    </w:p>
    <w:p>
      <w:r>
        <w:t>Aufgrund der Ausführungen des Beschwerdeführers während des Dublin-Gesprächs lagen und liegen konkrete Anhaltspunkte für das allfällige Bestehen einer dauerhaften Beziehung mit seiner Verlobten im Sinne von Art. 9 in Verbindung mit Art. 2 Bst. g Dublin-III-VO beziehungsweise einer geschützten Familienbeziehung im Sinne von Art. 8 EMRK vor.</w:t>
      </w:r>
    </w:p>
    <w:p>
      <w:r>
        <w:rPr>
          <w:b/>
        </w:rPr>
        <w:t>E. 5.7</w:t>
      </w:r>
    </w:p>
    <w:p>
      <w:r>
        <w:t>Indem die Vorinstanz am 28. Juli 2023 die angefochtene Verfügung erliess, ohne die Beziehung des Beschwerdeführers zu seiner Verlobten - welche im vorliegenden Fall insbesondere für die Anwendung von Art. 9 Dublin-III-VO rechtswesentlich ist - genauer abzuklären, verletzte sie ihre Untersuchungspflicht. Zwar hat die Vorinstanz den Verzicht auf nähere Abklärungen hinsichtlich der Beziehung damit begründet, dass diese nicht bereits im Herkunftsland bestanden habe. Diese Begründung erweist sich indes bereits aufgrund des Wortlauts von Art. 9 Dublin-III-VO (welcher als Spezialregelung Art. 2 Bst. g Dublin-III-VO vorgeht) als falsch. Was die Vorinstanz darüber hinaus bezüglich der Unvorhersehbarkeit eines Trautermins und der Möglichkeit einer Trauung nach Verlassen der Schweiz ausführt, ändert nichts daran, dass sie mit Blick auf die in Frage stehende Anwendbarkeit von Art. 9 Dublin-III-VO hätte abklären müssen, ob die Beziehung des Beschwerdeführers zu seiner Verlobten als dauerhaft zu qualifizieren ist oder nicht.</w:t>
      </w:r>
    </w:p>
    <w:p>
      <w:r>
        <w:rPr>
          <w:b/>
        </w:rPr>
        <w:t>E. 6</w:t>
      </w:r>
    </w:p>
    <w:p>
      <w:r>
        <w:t>Die angefochtene Verfügung vom 28. Juli 2023 ist daher aus formellen Gründen aufzuheben und die Vorinstanz anzuweisen, den Sachverhalt in Bezug auf die familiäre Situation des Beschwerdeführers vollständig festzustellen und neu zu beurteilen. Im Rahmen der Sachverhaltsfeststellung wird sie insbesondere den mitwirkungspflichtigen Beschwerdeführer aufzufordern haben, seine Angaben zur Beziehung schriftlich oder mündlich weiter zu substantiieren und mit Beweismitteln zu unterlegen. Sodann wird auch die Verlobte des Beschwerdeführers schriftlich oder mündlich anzuhören sein.</w:t>
      </w:r>
    </w:p>
    <w:p>
      <w:r>
        <w:rPr>
          <w:b/>
        </w:rPr>
        <w:t>E. 7</w:t>
      </w:r>
    </w:p>
    <w:p>
      <w:r>
        <w:t>Nach dem Gesagten ist die Beschwerde insofern gutzuheissen, als die Aufhebung der vorinstanzlichen Verfügung und die Rückweisung der Sache beantragt wird. Angesichts des Verfahrensausgangs erübrigt es sich, auf die weiteren Beschwerdevorbringen näher einzugehen.</w:t>
      </w:r>
    </w:p>
    <w:p>
      <w:r>
        <w:rPr>
          <w:b/>
        </w:rPr>
        <w:t>E. 8</w:t>
      </w:r>
    </w:p>
    <w:p>
      <w:r>
        <w:t>Mit diesem Urteil fällt der am 8. August 2023 angeordnete Vollzugstopp dahin. Das Gesuch um Gewährung der aufschiebenden Wirkung wird gegenstandslos. Gleiches gilt für Anträge, wonach der Beschwerdeführer nicht zu inhaftieren und kein Einreiseverbot gegen ihn zu verhängen sei, wobei auf diese ohnehin nicht einzutreten gewesen wäre, da sie nicht vom Streitgegenstand erfasst sind (vgl. vorne E. 2.2).</w:t>
      </w:r>
    </w:p>
    <w:p>
      <w:r>
        <w:rPr>
          <w:b/>
        </w:rPr>
        <w:t>E. 9.1</w:t>
      </w:r>
    </w:p>
    <w:p>
      <w:r>
        <w:t>Bei diesem Ausgang des Verfahrens sind keine Kosten zu erheben (Art. 63 Abs. 1 und 2 VwVG). Die Gesuche des Beschwerdeführers um Gewährung der unentgeltlichen Prozessführung und um Verzicht auf die Erhebung eines Kostenvorschusses werden damit gegenstandslos.</w:t>
      </w:r>
    </w:p>
    <w:p>
      <w:r>
        <w:rPr>
          <w:b/>
        </w:rPr>
        <w:t>E. 9.2</w:t>
      </w:r>
    </w:p>
    <w:p>
      <w:r>
        <w:t>Dem vertretenen (vgl. vorne Bst. J, L) und obsiegenden Beschwerdeführer ist zu Lasten der Vorinstanz eine Entschädigung für die ihm notwendigerweise erwachsenen Parteikosten zuzusprechen (Art. 111a ter zweiter Satz AsylG in Verbindung mit Art. 64 Abs. 1 VwVG; Art. 7 Abs. 1 des Reglements vom 21. Februar 2008 über die Kosten und Entschädigungen vor dem Bundesverwaltungsgericht [VGKE, SR 173.320.2]). Mangels Kostennote ist die Entschädigung vorliegend aufgrund der Akten und gestützt auf die üblichen Bemessungsfaktoren pauschal auf Fr. 600.- festzusetzen (Art. 8 ff. VGKE; Art. 14 Abs. 2 VGKE). Die zuzusprechende Parteientschädigung geht einer allfälligen unentgeltlichen Rechtsverbeiständung vor, womit der entsprechende Antrag des Beschwerdeführers gegenstandsloswird.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