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F-4295/2014 vom 31. August 2016</w:t>
      </w:r>
    </w:p>
    <w:p>
      <w:r>
        <w:t>Bundesverwaltungsgericht, 2016-08-31, DE</w:t>
      </w:r>
    </w:p>
    <w:p>
      <w:r>
        <w:rPr>
          <w:b/>
        </w:rPr>
        <w:t xml:space="preserve">Quelle: </w:t>
      </w:r>
      <w:r>
        <w:t>https://mcp.opencaselaw.ch/entscheid/bvger_F-4295_2014</w:t>
      </w:r>
    </w:p>
    <w:p>
      <w:r>
        <w:t>FR: TAF F-4295/2014 du 31 août 2016</w:t>
      </w:r>
    </w:p>
    <w:p>
      <w:r>
        <w:t>IT: TAF F-4295/2014 del 31 agosto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BFM bzw.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und Einsprecher zur Beschwerde legitimiert (Art. 48 Abs. 1 VwVG). Auf die im Übrigen frist- und formgerecht eingereichte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indonesischen Staatsangehörigen um Erteilung eines Visums für einen fünfwöchigen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auch das Schengen-Recht nicht (vgl. BVGE 2014/1 E. 4.1.5; a.M. Philipp Egli / Tobias D. Meyer, in: Caroni / Gächter / Thurnherr [Hrsg.],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77/1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bzw. nachstehend E. 6.3.1).</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persönlichen Verhältnisse der Gesuchstellerin, namentlich des fehlenden Nachweises für die Vaterschaft des Beschwerdeführers,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beziehungsweise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wirtschaftliche Lage Indonesiens erweist sich insgesamt als robust gegenüber den weltweiten negativen Auswirkungen der Finanz- und Wirtschaftskrise, wenngleich in den letzten Jahren eine wirtschaftliche Abkühlung festzustellen war. Im Jahr 2015 fiel das Bruttoinlandprodukt (BIP) von zeitweise über 6% auf unter 5%; das nominelle BIP pro Kopf belief sich auf rund 3'500 USD. Im Hinblick auf den Arbeitsmarkt verfügt Indonesien über eine ausgeprägte Dienstleistungs- und Agrarwirtschaft mit einem relativ kleinen Anteil industrieller Produktion. Die offizielle Arbeitslosenrate lag 2015 bei rund 6 %, wobei diese Angabe insofern zu relativieren ist, als etwa 60% der arbeitsfähigen Bevölkerung im informellen Sektor tätig ist. Offiziell leben etwas über 11 % der Bevölkerung unter der nationalen Armutsgrenze von etwa 25 USD/Monat. Die politische Lage Indonesiens ist grundsätzlich stabil. Separatistische Bewegungen und immer wieder aufflammende ethnisch-religiös motivierte Spannungen gefährden allerdings die Sicherheit in einzelnen Regionen (vgl. Deutsches Auswärtiges Amt, www.auswaertiges-amt.de &gt; Reise &amp; Sicherheit &gt; [Suche] Indonesien &gt; Reisehinweise, berücksichtigte Unterkapitel: Wirtschaftspolitik [Stand: März 2016], Innenpolitik [Stand: Oktober 2015] und Reise- und Sicherheitshinweise [Stand: Juni 2016]; Eidgenössisches Departement für auswärtige Angelegenheiten, www.eda.admin.ch &gt; Reisehinweise &gt; Reiseziele &gt; Indonesien. Beide Websites abgerufen im Juni 2016).</w:t>
      </w:r>
    </w:p>
    <w:p>
      <w:r>
        <w:rPr>
          <w:b/>
        </w:rPr>
        <w:t>E. 5.4</w:t>
      </w:r>
    </w:p>
    <w:p>
      <w:r>
        <w:t>Zwar existiert in Indonesien eine beachtliche Arbeitsmigration. Davon erfasst werden mehrheitlich unterqualifizierte Arbeitskräfte und unter diesen nicht selten Frauen aus einem ländlichen Umfeld. Diese Arbeitsmigration ist aber nicht etwa in den Westen, sondern vielmehr in den ethnisch, kulturell und geografisch näherstehenden arabischen Raum ausgerichtet (Quelle: www.iak-net.de &gt; arbeitsmigration-in-indonesien-und-malaysia; abgerufen im Juli 2016).</w:t>
      </w:r>
    </w:p>
    <w:p>
      <w:r>
        <w:rPr>
          <w:b/>
        </w:rPr>
        <w:t>E. 5.5</w:t>
      </w:r>
    </w:p>
    <w:p>
      <w:r>
        <w:t>Die Gesuchstellerin stammt demgegenüber ganz offensichtlich nicht aus einem bildungsfernen Milieu. Im Gegenteil: Gemäss den Akten wohnt sie zusammen mit der Mutter und der Grossmutter in C._______, einer Millionenstadt im Nordosten der Provinz D._______ (SEM act. 52, 61, 94), wo sie zwecks Erwerbs des ,International Baccalaureate Diploma' - ein international anerkannter Schulabschluss entsprechend dem Abitur beziehungsweise der Matura - seit 2010 die ,E._______' - besucht. Die Schulkosten von jährlich 82'812'000 Indonesische Rupien (IDR) entsprechen einem Betrag zwischen rund 10'000 CHF (umgerechnet zu einem Wechselkurs im Juni 2010: 1 IDR ~ 0.000126 CHF) und 6'000 CHF (umgerechnet zu einem Wechselkurs im Juni 2015: 1 IDR ~ 0.000072 CHF) und werden vom Beschwerdeführer finanziert. Auch wenn den Akten keine weitergehenden Informationen zu den wirtschaftlichen Lebensumständen der Gesuchstellerin beziehungsweise deren Mutter zu entnehmen sind, kann aufgrund des mehrjährigen Besuchs einer Privatschule, deren jährliche Kosten - je nach Wechselkurs - annähernd das Doppelte bis Dreifache des nominellen BIP pro Kopf (vgl. dazu E. 5.3 hievor) betragen, davon ausgegangen werden, die Gesuchstellerin lebe in wirtschaftlich privilegierten Verhältnissen.</w:t>
      </w:r>
    </w:p>
    <w:p>
      <w:r>
        <w:rPr>
          <w:b/>
        </w:rPr>
        <w:t>E. 6</w:t>
      </w:r>
    </w:p>
    <w:p>
      <w:r>
        <w:t>Die Vorinstanz leitet den ihrer Ansicht nach bestehenden Mangel an Gewähr für eine fristgerechte Wiederausreise denn auch nicht aus den allgemeinen Verhältnissen in Indonesien oder einer wirtschaftlich prekären Lage der Gesuchstellerin ab. Vielmehr schliesst sie aus der Tatsache, dass der Beschwerdeführer die Gesuchstellerin bis jetzt nicht als sein Kind anerkannt hat, auf ernsthafte Zweifel am von den Beteiligten deklarierten Aufenthaltszweck.</w:t>
      </w:r>
    </w:p>
    <w:p>
      <w:r>
        <w:rPr>
          <w:b/>
        </w:rPr>
        <w:t>E. 6.1</w:t>
      </w:r>
    </w:p>
    <w:p>
      <w:r>
        <w:t>Nun wirft aber die nach Art. 6 Abs. 1 Bst. c SGK erforderliche Überprüfung des Aufenthaltszwecks dieselbe Fragestellung auf wie die Überprüfung des in Art. 5 Abs. 2 AuG genannten Merkmals der gesicherten Wiederausreise.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Gesuchstellende nicht willens ist, nach Ablauf des geplanten Aufenthalts den Schengen-Raum fristgerecht wieder zu verlassen. Die laut Art. 6 Abs. 3 SGK zur Glaubhaftmachung des Aufenthaltszwecks in Frage kommenden Belege werden beispielhaft in Anhang I des Schengener Grenzkodex aufgelistet (vgl. BVGE 2009/27 E. 5.2 f.).</w:t>
      </w:r>
    </w:p>
    <w:p>
      <w:r>
        <w:rPr>
          <w:b/>
        </w:rPr>
        <w:t>E. 6.2</w:t>
      </w:r>
    </w:p>
    <w:p>
      <w:r>
        <w:t>Vorliegend haben die an der Erteilung des Visums interessierten Personen das Verhältnis zwischen dem Beschwerdeführer und der Gesuchstellerin übereinstimmend als solches zwischen einem Vater und dessen Tochter bezeichnet. So gab die Gesuchstellerin im Visums-Antragsformular an, sie sei das Kind des (namentlich genannten) Gastgebers (SEM act. 3/58 Ziff. 35). Ihre Mutter erteilte in einer schriftlichen Erklärung vom 6. März 2014 das Einverständnis zu einem Verwandtenbesuch mit dem Hinweis, ihre Tochter werde bei deren Verwandten (der Grossmutter und dem Vater) wohnen (SEM act. 3/52) und auch der Gastgeber bzw. Beschwerdeführer machte von Beginn weg geltend, es handle sich bei der Gesuchstellerin um seine Verwandte beziehungsweise Tochter (SEM act. 3/44). Auch in der Korrespondenz mit der ,E._______' stellte er sich als Vater der Gesuchstellerin vor. Als massgebend erweist sich in diesem Zusammenhang auch dessen namhafte und regelmässig geleistete finanzielle Unterstützung zuhanden der Gesuchstellerin. An der geltend gemachten Vaterschaft zweifelte offensichtlich auch die Schweizer Vertretung nicht, ging sie doch in ihrem Schreiben an den Beschwerdeführer vom 15. Mai 2014 trotz vorausgegangenem ablehnenden Entscheid vom Bestand eines solchen Verwandtschaftsverhältnisses aus (Beilage 11 zur Replik, Beschwerde act. 8/11). Schliesslich fügt sich auch der Umstand, dass die Mutter der Gesuchstellerin im Februar 1997 - mithin neun Monate vor dem Geburtstermin der Gesuchstellerin am (...) - besuchsweise beim Beschwerdeführer in der Schweiz weilte (SEM act. 7/93, Antwort 8), stimmig in das Gesamtbild ein, wonach die behauptete Vater-Kind-Beziehung wenn nicht belegt, so doch glaubhaft ist.</w:t>
      </w:r>
    </w:p>
    <w:p>
      <w:r>
        <w:rPr>
          <w:b/>
        </w:rPr>
        <w:t>E. 6.3</w:t>
      </w:r>
    </w:p>
    <w:p>
      <w:r>
        <w:t>Weitere Indizien für die Richtigkeit des deklarierten Aufenthaltszweckes und für eine Gewähr in Bezug auf die anstandslose Wiederausreise können darin erblickt werden, dass der Besuch lediglich für einen Zeitraum von 37 Tagen und dazu während der Ferienmonate Juli und August beantragt wurde (SEM act. 7/93) und dass sich die Gesuchstellerin zusammen mit ihrer Mutter schon einmal Ende 2006 besuchsweise beim Beschwerdeführer aufgehalten und das Land anschliessend fristgerecht wieder verlassen hat.</w:t>
      </w:r>
    </w:p>
    <w:p>
      <w:r>
        <w:rPr>
          <w:b/>
        </w:rPr>
        <w:t>E. 7</w:t>
      </w:r>
    </w:p>
    <w:p>
      <w:r>
        <w:t>Die aufgezeigten Verhältnisse lassen bei der Gesuchstellerin auf eine genügende Gewähr für lautere Absichten beziehungsweise die Wahrscheinlichkeit regelkonformen Verhaltens schliessen. Auch wenn das Risiko für eine Missachtung ausländerrechtlicher Normen nie gänzlich ausgeschlossen werden kann, erscheint es vorliegend doch als gering. Es ist mit anderen Worten nicht davon auszugehen, es bestünden Hinderungsgründe dieser Art gemäss Art. 6 SGK beziehungsweise Art. 5 AuG für die Erteilung des beantragten Visums.</w:t>
      </w:r>
    </w:p>
    <w:p>
      <w:r>
        <w:rPr>
          <w:b/>
        </w:rPr>
        <w:t>E. 8</w:t>
      </w:r>
    </w:p>
    <w:p>
      <w:r>
        <w:t>Indem die Vorinstanz den entscheidsrelevanten Sachverhalt im Ergebnis anders gewichtete, hat sie Bundesrecht verletzt (Art. 49 Bst. a VwVG). Die Beschwerde ist demnach gutzuheissen, die angefochtene Verfügung ist aufzuheben und die Sache zur neuerlichen Beurteilung an die Vorinstanz zurückzuweisen. Dabei bleibt von der Vorinstanz zu prüfen, ob die übrigen Einreisevoraussetzungen (vgl. E. 4) erfüllt sind.</w:t>
      </w:r>
    </w:p>
    <w:p>
      <w:r>
        <w:rPr>
          <w:b/>
        </w:rPr>
        <w:t>E. 9</w:t>
      </w:r>
    </w:p>
    <w:p>
      <w:r>
        <w:t>Entsprechend dem Ausgang des Verfahrens sind weder dem Beschwerdeführer noch der Vorinstanz Kosten aufzuerlegen (Art. 63 Abs. 1 und 2 VwVG) und der geleistete Kostenvorschuss ist zurückzuerstatten. Eine Parteientschädigung für das Beschwerdeverfahren ist nicht zuzusprechen. Zwar stellt der Beschwerdeführer Antrag auf Ausrichtung einer solchen im Umfang von Fr. 3'000.-. Der Beschwerdeführer ist jedoch nicht anwaltschaftlich vertreten und sein Antrag weder detailliert aufgeschlüsselt noch auch nur ansatzweise belegt (Art. 64 Abs. 1 VwVG i.V.m. Art 7 Abs. 4 des Reglements vom 21. Februar 2008 über die Kosten und Entschädigungen vor dem Bundesverwaltungsgericht [SR 173.320.2]). Einen Anspruch auf Parteientschädigung für das vorinstanzliche Einspracheverfahren, wie sie der Beschwerdeführer ebenfalls fordert, gibt es nicht (Maillard in: Waldmann / Weissenberger, Praxiskommentar VwVG, Art. 64 N. 2 mit Hinweis). Was die im Einspracheverfahren entrichtete Gebühr betrifft, so fällt diese zusammen mit dem Einspracheentscheid dahin. Über eine Rückerstattung oder Verrechnung des vorgängig entrichteten Kostenvorschusses wird die Vorinstanz bei Erlass einer neuen Verfügung zu befinden haben.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