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F-4288/2021 vom 28. September 2022</w:t>
      </w:r>
    </w:p>
    <w:p>
      <w:r>
        <w:t>Bundesverwaltungsgericht, 2022-09-28, DE</w:t>
      </w:r>
    </w:p>
    <w:p>
      <w:r>
        <w:rPr>
          <w:b/>
        </w:rPr>
        <w:t xml:space="preserve">Quelle: </w:t>
      </w:r>
      <w:r>
        <w:t>https://mcp.opencaselaw.ch/entscheid/bvger_F-4288_2021</w:t>
      </w:r>
    </w:p>
    <w:p>
      <w:r>
        <w:t>FR: TAF F-4288/2021 du 28 septembre 2022</w:t>
      </w:r>
    </w:p>
    <w:p>
      <w:r>
        <w:t>IT: TAF F-4288/2021 del 28 settembre 2022</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112 Abs. 1 AIG i.V.m. 31 ff. VGG ).</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 m.H.).</w:t>
      </w:r>
    </w:p>
    <w:p>
      <w:r>
        <w:rPr>
          <w:b/>
        </w:rPr>
        <w:t>E. 3.1</w:t>
      </w:r>
    </w:p>
    <w:p>
      <w:r>
        <w:t>Landesrechtliche Grundlage der angefochtenen Verfügung vom 12. Juni 2019 ist Art. 67 des Ausländer- und Integrationsgesetzes (AIG, SR 142.20). Die Absätze 1 und 2 dieser Bestimmung zählen eine Reihe von Tatbeständen auf, welche ein Einreiseverbot nach sich ziehen oder nach sich ziehen können.</w:t>
      </w:r>
    </w:p>
    <w:p>
      <w:r>
        <w:rPr>
          <w:b/>
        </w:rPr>
        <w:t>E. 3.2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3.3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ist dies ein Indiz für die Gefahr entsprechender künftiger Störungen (vgl. Urteil des BVGer F-7649/2016 vom 13. März 2018 E. 3.2 m.H.).</w:t>
      </w:r>
    </w:p>
    <w:p>
      <w:r>
        <w:rPr>
          <w:b/>
        </w:rPr>
        <w:t>E. 4.1</w:t>
      </w:r>
    </w:p>
    <w:p>
      <w:r>
        <w:t>Die Vorinstanz hat das gegen den Beschwerdeführer verhängte Einreiseverbot damit begründet, dass seine im Jahre 2014 erfolgte Eheschliessung mit einer portugiesischen Staatsangehörigen rechtsmissbräuchlich erfolgt sei und auf die deswegen am 6. März 2020 erfolgte Nichtverlängerung seiner Aufenthaltsbewilligung verwiesen. Die im Aufenthaltsbewilligungsverfahren zuständigen Instanzen legten dem Beschwerdeführer zur Last, dass er sich mit dem Eheschluss unrechtmässige, ausländerrechtliche Vorteile verschaffen wollte. Ob eine Scheinehe (auch "Umgehungsehe" oder "ausländerrechtliche Ehe") geschlossen wurde bzw. ob eine Ehe bloss formell bestand, entzieht sich in der Regel dem direkten Beweis und ist nur durch Indizien zu erstellen (BGE 135 II 1 E. 4.2). Im sorgfältig redigierten Urteil des Verwaltungsgerichts des Kantons Zürich vom 31. März 2021 wurden rund zwanzig Indizien aufgeführt, die auf eine Scheinehe hindeuten würden (vgl. E. 3.2.1). So sei in casu davon auszugehen, dass der Beschwerdeführer primär zu Erwerbs- und nicht zu Ausbildungszwecken in die Schweiz gekommen sei. Zudem habe er zum Zeitpunkt der Heirat mit seiner portugiesischen Ehefrau - lediglich wenige Monate nach dem Kennenlernen und nach wenigen persönlichen Treffen - nur noch geringe Aussichten auf eine weitere Verlängerung seines Aufenthalts zu Ausbildungszwecken gehabt. Die Heirat mit einer acht Jahre älteren Portugiesin, welche von den (indischen) Eltern des Bräutigams finanziell unterstützt worden sei, sei zumindest vor dem kulturellen Hintergrund der Ehegatten auffällig, zumal der Beschwerdeführer bei seiner zweiten Eheschliessung eine rund fünf Jahre jüngere Landsfrau geheiratet habe. Komme hinzu, dass die Hochzeit in Dänemark, einem Land, zu welchem keiner der beiden Ehegatten einen besonderen Bezug gehabt habe, stattgefunden habe.</w:t>
      </w:r>
    </w:p>
    <w:p>
      <w:r>
        <w:rPr>
          <w:b/>
        </w:rPr>
        <w:t>E. 4.2</w:t>
      </w:r>
    </w:p>
    <w:p>
      <w:r>
        <w:t>Demgegenüber bestritt der Beschwerdeführer in seiner Rechtsmittel-eingabe vom 27. September 2021 sowie in seinen E-Mails vom 16. November 2021 und 12. Dezember 2021 jegliche Täuschungshandlung gegenüber den schweizerischen Behörden; er sei nie eine Scheinehe eingegangen. Allerdings kann er - ungeachtet seiner Motive - mit der vorliegenden Beschwerde nicht verlangen, dass der im kantonalen Verfahren erhobene und dem rechtskräftigen Urteil des Verwaltungsgerichts zugrundeliegende Sachverhalt ignoriert und ihren hier wie dort gleichen Behauptungen nunmehr geglaubt wird. Sein Einwand, er habe den Vorwurf mit Dokumenten widerlegen können, welche jedoch wegen der Novenschranke im Rechtsmittelverfahren vor dem Bundesgericht nicht hätten berücksichtigt werden können, muss denn auch als reine Schutzbehauptung bezeichnet werden.</w:t>
      </w:r>
    </w:p>
    <w:p>
      <w:r>
        <w:rPr>
          <w:b/>
        </w:rPr>
        <w:t>E. 4.3</w:t>
      </w:r>
    </w:p>
    <w:p>
      <w:r>
        <w:t>Das Eingehen einer Scheinehe wird praxisgemäss als schwerwiegender Verstoss gegen die öffentliche Ordnung angesehen (Art. 67 Abs. 2 Bst. a AIG; vgl. etwa Urteile des BVGer F-4177/2019 vom 27. April 2021 E. 4.4; F-5244/2018 vom 8. Juli 2020 E. 7.4; F-2561/2019 vom 5. Februar 2021 E. 4.2; F-6222/2017 vom 24. März 2020 E. 5.3.3). Mit dem bereits mehrfach erwähnten Urteil des Verwaltungsgerichts des Kantons Zürich vom 31. März 2021 steht fest, dass der Beschwerdeführer eine Umgehungsehe geschlossen hatte. Die Voraussetzungen für ein Einreiseverbot gemäss Art. 67 Abs. 2 Bst. a AIG sind somit fraglos erfüllt.</w:t>
      </w:r>
    </w:p>
    <w:p>
      <w:r>
        <w:rPr>
          <w:b/>
        </w:rPr>
        <w:t>E. 5</w:t>
      </w:r>
    </w:p>
    <w:p>
      <w:r>
        <w:t>Es bleibt zu prüfen, ob die Massnahme in richtiger Ausübung des Ermessens ergangen und angemessen ist.</w:t>
      </w:r>
    </w:p>
    <w:p>
      <w:r>
        <w:rPr>
          <w:b/>
        </w:rPr>
        <w:t>E. 5.1</w:t>
      </w:r>
    </w:p>
    <w:p>
      <w:r>
        <w:t>Der Entscheid darüber, ob ein Einreiseverbot anzuordnen und wie es innerhalb des zulässigen zeitlichen Rahmens zu befristen ist, legt Art. 67 Abs. 2 AIG in das pflichtgemässe Ermessen der Behörde (BGE 139 II 121 E. 6.5.1; 108 Ib 196 E. 4a). Zu beachten ist insbesondere der Grundsatz der Verhältnismässigkeit (BVGE 2016/33 E. 9; 2014/20 E. 8.1). Erforderlich ist eine einzelfallbezogene Interessenabwägung unter Berücksichtigung sämtlicher wesentlicher Umstände (Art. 5 Abs. 2 BV; Art. 96 AIG; BGE 139 I 16 E. 2.2.1; 135 II 377 E. 4.3). Massgebend ist dabei das öffentliche Interesse an der Fernhaltemassnahme einerseits und die durch sie beeinträchtigten privaten Interessen des Beschwerdeführers andererseits. Ausgangspunkt der Überlegungen bilden die Stellung der verletzten oder gefährdeten Rechtsgüter, die Besonderheiten des ordnungswidrigen Verhaltens, die persönlichen Verhältnisse des Beschwerdeführers und das von ihm ausgehende, zukünftige Gefährdungspotenzial (BGE 139 II 121 E. 6.5.1; BVGE 2014/20 E. 8.1).</w:t>
      </w:r>
    </w:p>
    <w:p>
      <w:r>
        <w:rPr>
          <w:b/>
        </w:rPr>
        <w:t>E. 5.2</w:t>
      </w:r>
    </w:p>
    <w:p>
      <w:r>
        <w:t>Der Beschwerdeführer hat durch das Eingehen und Aufrechterhalten einer Scheinehe die Migrationsbehörden über Jahre hinweg getäuscht und sich dadurch erhebliche aufenthaltsrechtliche Vorteile verschafft. Ein solches Fehlverhalten wiegt objektiv schwer. Das Einreiseverbot hat deshalb spezialpräventiven Charakter, um weiteren illegalen Handlungen entgegenzuwirken, zumal der Beschwerdeführer jede Einsicht in die Problematik seines Tuns missen lässt. Zu berücksichtigen ist weiter, dass den ausländerrechtlichen Normen im Interesse einer funktionierenden Rechtsordnung eine hohe Bedeutung zukommt (BVGE 2014/20 E. 8.2; Urteil des BVGer F-5785/2019 vom 30. April 2020 E. 7.2). Das generalpräventiv motivierte Interesse, die ausländerrechtliche Ordnung durch eine konsequente Massnahmenpraxis zu schützen, ist als gewichtig zu betrachten. Es besteht vorliegend gesamthaft somit ein erhebliches öffentliches Interesse an der Fernhaltung des Beschwerdeführers.</w:t>
      </w:r>
    </w:p>
    <w:p>
      <w:r>
        <w:rPr>
          <w:b/>
        </w:rPr>
        <w:t>E. 5.3</w:t>
      </w:r>
    </w:p>
    <w:p>
      <w:r>
        <w:t>In seiner Rechtsmitteleingabe machte der Beschwerdeführer geltend, die Fernhaltemassnahme und als Folge davon die Ausschreibung im Schengener Informationssystem (SIS II) hindere ihn daran, seine Geschäfte in Ungarn weiterzuführen, habe er doch mit einem dortigen Geschäftspartner im Februar 2020 die Firma "X._______" gegründet, unter welcher er ein indisches Spezialitätenrestaurant mit "Take away" in Budapest betreibe. Zudem verwehre ihm die SIS-Ausschreibung auch den persönlichen Kontakt zu seiner Ehefrau, welche sich studienhalber in Italien aufhalte.</w:t>
      </w:r>
    </w:p>
    <w:p>
      <w:r>
        <w:rPr>
          <w:b/>
        </w:rPr>
        <w:t>E. 6.1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w:t>
      </w:r>
    </w:p>
    <w:p>
      <w:r>
        <w:rPr>
          <w:b/>
        </w:rPr>
        <w:t>E. 6.2</w:t>
      </w:r>
    </w:p>
    <w:p>
      <w:r>
        <w:t>Der Beschwerdeführer ist indischer Staatsangehöriger und damit Drittstaatsangehöriger im Sinne von Art. 3 Bst. d SIS-II-VO. Aufgrund der Ausschreibung im SIS II ist es ihm untersagt, den Schengen-Raum zu betreten. In Anbetracht des erheblichen Verstosses gegen die öffentliche Ordnung durch das Eingehen einer Scheinehe und der daraus folgenden Nichtverlängerung seiner Aufenthaltsberechtigung in der Schweiz ist die Ausschreibung zu Recht erfolgt und verhältnismässig (vgl. Art. 21 i.V.m. Art. 24 Abs. 3 SIS-II-VO). Eine mit der Ausschreibung einhergehende zusätzliche Beeinträchtigung der persönlichen Bewegungsfreiheit hat der Beschwerdeführer mithin in Kauf zu nehmen (Urteile des BVGer F-5244/2018 vom 8. Juli 2020 E. 9; F-3533/2016 vom 31. Mai 2017 E. 6.3; F-4369/2015 vom 18. Oktober 2016 E. 6.3). Abgesehen davon hindert die Ausschreibung die anderen Schengen-Staaten nicht daran, der betroffenen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23.03.2016]) bzw. ihr ein Schengen-Visum mit räumlich beschränkter Gültigkeit auszustellen (vgl. Art. 25 Abs. 1 Bst. a [ii] der Verordnung [EG] Nr. 810/2009 des Europäischen Parlaments und des Rates vom 13. Juli 2009 über einen Visakodex der Gemeinschaft [Visakodex, Abl. L 243/1 vom 15.09.2009]). Sie können dem Beschwerdeführer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 in der Fassung der Verordnung [EU] Nr. 265/2010 des Europäischen Parlaments und des Rates vom 25.03.2010 [ABl. L 85/1 vom 31.03.2010]; vgl. auch Urteile des BVGer F-4221/2021 vom 24. Juni 2022 E. 6.4; F-384/2019 vom 19. Februar 2020 E. 5.4).</w:t>
      </w:r>
    </w:p>
    <w:p>
      <w:r>
        <w:rPr>
          <w:b/>
        </w:rPr>
        <w:t>E. 7</w:t>
      </w:r>
    </w:p>
    <w:p>
      <w:r>
        <w:t>Aus diesen Erwägungen folgt, dass weder das auf drei Jahre befristete Einreiseverbot noch dessen Ausschreibung im SIS II Bundesrecht verletzt (Art. 49 VwVG). Die Beschwerde ist daher abzuweisen.</w:t>
      </w:r>
    </w:p>
    <w:p>
      <w:r>
        <w:rPr>
          <w:b/>
        </w:rPr>
        <w:t>E. 8</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Kostenvorschuss gedeckt.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