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F-4280/2024 vom 3. Juni 2024</w:t>
      </w:r>
    </w:p>
    <w:p>
      <w:r>
        <w:t>Bundesverwaltungsgericht, 2024-06-03, DE</w:t>
      </w:r>
    </w:p>
    <w:p>
      <w:r>
        <w:rPr>
          <w:b/>
        </w:rPr>
        <w:t xml:space="preserve">Quelle: </w:t>
      </w:r>
      <w:r>
        <w:t>https://mcp.opencaselaw.ch/entscheid/bvger_F-4280_2024_d20240603</w:t>
      </w:r>
    </w:p>
    <w:p>
      <w:r>
        <w:t>FR: TAF F-4280/2024 du 3 juin 2024</w:t>
      </w:r>
    </w:p>
    <w:p>
      <w:r>
        <w:t>IT: TAF F-4280/2024 del 3 giugno 2024</w:t>
      </w:r>
    </w:p>
    <w:p>
      <w:pPr>
        <w:pStyle w:val="Heading2"/>
      </w:pPr>
      <w:r>
        <w:t>Regeste</w:t>
      </w:r>
    </w:p>
    <w:p>
      <w:r>
        <w:t>Einreiseverbot | Einreiseverbot; Verfügung des SEM vom 3. Juni 2024</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Aufhebung oder Änderung der angefochtenen Ver- fügung hat, zur Erhebung der Beschwerde legitimiert (Art. 48 Abs. 1 VwVG). Die übrigen Sachurteilsvoraussetzungen (Rechtsmittelfrist [Art. 50 Abs. 1 VwVG], Form der Beschwerde [Art. 52 VwVG] und Bezahlung des Kostenvorschusses [Art. 63 Abs. 4 VwVG]) sind erfüllt. Auf die Beschwerde ist einzutreten.</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BGE 139 II 534 E. 5.4.1; BVGE 2020 VII/4 E. 2.2).</w:t>
      </w:r>
    </w:p>
    <w:p>
      <w:r>
        <w:rPr>
          <w:b/>
        </w:rPr>
        <w:t>E. 3.1</w:t>
      </w:r>
    </w:p>
    <w:p>
      <w:r>
        <w:t>Der Beschwerdeführer rügt in formeller Hinsicht eine Verletzung seines Anspruchs auf rechtliches Gehör. Die Vorinstanz stütze sich einzig auf die Ergebnisse des Polizeiberichts der KAPO und habe ihn nicht angehört. Die Begründung des Einreiseverbots sei zudem aufgrund der fehlenden Inte- ressenabwägung unzureichend. Insbesondere sei seiner familiären</w:t>
      </w:r>
    </w:p>
    <w:p>
      <w:r>
        <w:t>F-4280/2024 Seite 5 Situation keine Rechnung getragen worden. Es sei auch nicht dargelegt worden, aus welchen Gründen von einer schwerwiegenden Gefahr für die öffentliche Sicherheit und Ordnung auszugehen sei, und es sei keine ein- zelfallgerechte Gefährdungsprognose gemacht worden.</w:t>
      </w:r>
    </w:p>
    <w:p>
      <w:r>
        <w:rPr>
          <w:b/>
        </w:rPr>
        <w:t>E. 3.2</w:t>
      </w:r>
    </w:p>
    <w:p>
      <w:r>
        <w:t>Gemäss Art. 29 Abs. 2 BV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Abs.1 VwVG; BGE 145 IV 99 E. 3.1 m.w.H.). Die Begründung muss so abgefasst sein, dass der Betroffene den Entscheid in voller Kenntnis der Sache an die höhere Instanz weiterziehen kann. Nicht erforderlich ist, dass sich die Begründung mit allen Parteistandpunk- ten einlässlich auseinandersetzt und jedes einzelne Vorbringen ausdrück- lich widerlegt (BGE 143 III 65 E. 5.2).</w:t>
      </w:r>
    </w:p>
    <w:p>
      <w:r>
        <w:rPr>
          <w:b/>
        </w:rPr>
        <w:t>E. 3.3</w:t>
      </w:r>
    </w:p>
    <w:p>
      <w:r>
        <w:t>Die Verletzung des rechtlichen Gehörs führt ungeachtet der materiellen Begründetheit des Rechtsmittels zur Gutheissung der Beschwerde und zur Aufhebung des angefochtenen Entscheids. Eine nicht besonders schwer- wiegende Verletzung des rechtlichen Gehörs kann ausnahmsweise als ge- heilt gelten, wenn die betroffene Person die Möglichkeit erhält, sich vor ei- ner Rechtsmittelinstanz zu äussern, die sowohl den Sachverhalt als auch die Rechtslage frei überprüfen kann. Unter dieser Voraussetzung ist dar- über hinaus – im Sinn einer Heilung des Mangels – selbst bei einer schwer- wiegenden Verletzung des Anspruchs auf rechtliches Gehör von einer Rückweisung der Sache an die Vorinstanz abzusehen, wenn die Rückwei- sung zu einem formalistischen Leerlauf und damit zu unnötigen Verzöge- rungen führen würde, die mit dem Interesse der betroffenen Partei an einer beförderlichen Beurteilung der Sache nicht zu vereinbaren wären (BGE 142 II 218 E. 2.8.1; BVGE 2012/24 E. 3.4).</w:t>
      </w:r>
    </w:p>
    <w:p>
      <w:r>
        <w:rPr>
          <w:b/>
        </w:rPr>
        <w:t>E. 3.4</w:t>
      </w:r>
    </w:p>
    <w:p>
      <w:r>
        <w:t>Im Rahmen der polizeilichen Einvernahme vom 3. Juni 2024 wurde dem Beschwerdeführer Gelegenheit gegeben, sich zu den Vorwürfen der Fälschung von Ausweisen und der Täuschung der Behörden sowie zur all- fälligen Wegweisung und Anordnung eines Einreiseverbots zu äussern. Er nahm dazu ausführlich Stellung, womit sich eine Anhörung durch die Vor- instanz erübrigte. Diesbezüglich liegt keine Verletzung des rechtlichen Ge- hörs vor.</w:t>
      </w:r>
    </w:p>
    <w:p>
      <w:r>
        <w:rPr>
          <w:b/>
        </w:rPr>
        <w:t>E. 3.5</w:t>
      </w:r>
    </w:p>
    <w:p>
      <w:r>
        <w:t>In Bezug auf die Begründung des Einreiseverbots führte die Vorinstanz aus, dass der Beschwerdeführer im Rahmen der Gesuchstellung um eine</w:t>
      </w:r>
    </w:p>
    <w:p>
      <w:r>
        <w:t>F-4280/2024 Seite 6 EU/EFTA-Aufenthaltsbewilligung durch Vorweisen von gefälschten oder verfälschten Dokumenten versucht habe, die Einreisevorschriften für den Schengen-Raum zu umgehen. Angesichts der damit verbundenen Gefahr für die öffentliche Sicherheit und Ordnung sei die Fernhaltemassnahme gestützt auf Art. 67 Abs. 1 Bst. c AIG anzuordnen. Die Vorinstanz ist dabei nicht vom Vorliegen einer schwerwiegenden Gefahr im Sinn von Art. 67 Abs. 3 zweiter Satz AIG ausgegangen, weshalb auf das entsprechende Vorbringen des Beschwerdeführers nicht weiter einzugehen ist. Hinsichtlich der Verhältnismässigkeit der Fernhaltemassnahme hielt die Vorinstanz hingegen lediglich fest, dass private Interessen, die das öffent- liche Interesse an künftigen kontrollierten Einreisen überwiegen könnten, weder den Akten zu entnehmen noch solche im Rahmen des rechtlichen Gehörs geltend gemacht worden seien. Die Vorinstanz unterlässt es dabei, ihre Einschätzung zu begründen, wonach keine privaten Interessen vorlä- gen. Aus der angefochtenen Verfügung geht mit anderen Worten nicht her- vor, welche privaten Interessen des Beschwerdeführers betroffen sind, ob- wohl der Beschwerdeführer in der Einvernahme erwähnte, in der Schweiz eine Beziehung zu führen. Entsprechend ist der Verfügung auch keine Be- gründung zu entnehmen, inwiefern die öffentlichen Interessen die privaten Interessen des Beschwerdeführers überwiegen würden. Selbst in der Ver- nehmlassung vom 11. September 2024 äussert die Vorinstanz sich hierzu nicht, obwohl der Beschwerdeführer die Einlegung des Rechtsmittels ein- lässlich mit der Erschwerung von Besuchen seiner in der Schweiz wohn- haften Verlobten begründet. Aus den nicht berücksichtigten privaten Inte- ressen resultiert eine Verletzung der Begründungspflicht (vgl. Urteil des BGer 2C_1020/2019 vom 31. März 2020 E. 3.4.6). Der Beschwerdeführer hatte dennoch im Rahmen des vorliegenden Beschwerdeverfahrens die Möglichkeit, sich zu äussern und seine privaten Interessen darzulegen, zu- mal das Bundesverwaltungsgericht sowohl den Sachverhalt als auch die Rechtslage frei überprüfen kann (vgl. E. 3.3). Die Verletzung der Begrün- dungspflicht ist damit geheilt.</w:t>
      </w:r>
    </w:p>
    <w:p>
      <w:r>
        <w:rPr>
          <w:b/>
        </w:rPr>
        <w:t>E. 3.6</w:t>
      </w:r>
    </w:p>
    <w:p>
      <w:r>
        <w:t>Der Eventualantrag, die Angelegenheit sei zur Ergänzung der Untersu- chung und neuen Entscheidung an die Vorinstanz zurückzuweisen, ist folg- lich abzuweisen.</w:t>
      </w:r>
    </w:p>
    <w:p>
      <w:r>
        <w:rPr>
          <w:b/>
        </w:rPr>
        <w:t>E. 4.1</w:t>
      </w:r>
    </w:p>
    <w:p>
      <w:r>
        <w:t>Nach Art. 67 Abs. 1 Bst. c AIG verfügt das SEM unter Vorbehalt von Abs. 5 derselben Bestimmung ein Einreiseverbot gegenüber ausländisch- en Personen, die gegen die öffentliche Sicherheit und Ordnung in der</w:t>
      </w:r>
    </w:p>
    <w:p>
      <w:r>
        <w:t>F-4280/2024 Seite 7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w:t>
      </w:r>
    </w:p>
    <w:p>
      <w:r>
        <w:rPr>
          <w:b/>
        </w:rPr>
        <w:t>E. 4.2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w:t>
      </w:r>
    </w:p>
    <w:p>
      <w:r>
        <w:rPr>
          <w:b/>
        </w:rPr>
        <w:t>E. 4.3</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S. 3813). Die öffentliche Sicherheit und Ordnung im Sinn von Art. 67 Abs. 1 Bst. c AIG bildet den Oberbegriff für die Gesamt- heit der polizeilichen Schutzgüter. Sie umfasst unter anderem die Unver- letzlichkeit der objektiven Rechtsordnung und der Rechtsgüter Einzelner (vgl. Botschaft, a.a.O. S. 3809). Widerhandlungen gegen Normen des Aus- länderrechts fallen ohne weiteres unter diese Begriffsbestimmung und kön- nen ein Einreiseverbot nach sich ziehen (vgl. Botschaft, a.a.O., S. 3813). Die Verhängung eines Einreiseverbots gestützt auf Art. 67 Abs. 1 Bst. c AIG knüpft an das Risiko einer künftigen Gefährdung an. Gestützt auf sämtliche Umstände des Einzelfalles ist eine entsprechende Prognose zu stellen. Dabei ist naturgemäss primär das vergangene Verhalten der be- troffenen Person zu berücksichtigen. Es genügt dabei, wenn der ausländi- schen Person eine Sorgfaltspflichtverletzung zugerechnet werden kann (vgl. statt vieler Urteil des BVGer F-979/2023 vom 20. Januar 2024, E. 4.4).</w:t>
      </w:r>
    </w:p>
    <w:p>
      <w:r>
        <w:rPr>
          <w:b/>
        </w:rPr>
        <w:t>E. 5.1</w:t>
      </w:r>
    </w:p>
    <w:p>
      <w:r>
        <w:t>Die Vorinstanz begründete das Einreiseverbot angesichts der Verwen- dung eines gefälschten EU-Reisedokuments mit der versuchten Umge- hung der Einreisebestimmungen und der damit verbundenen Gefahr für die</w:t>
      </w:r>
    </w:p>
    <w:p>
      <w:r>
        <w:t>F-4280/2024 Seite 8 öffentliche Sicherheit und Ordnung (vgl. E. 4). Die Fernhaltemassnahme stützte sie folglich auf Art. 67 Abs. 1 Bst. c AIG.</w:t>
      </w:r>
    </w:p>
    <w:p>
      <w:r>
        <w:rPr>
          <w:b/>
        </w:rPr>
        <w:t>E. 5.2</w:t>
      </w:r>
    </w:p>
    <w:p>
      <w:r>
        <w:t>Der Beschwerdeführer machte in seiner Rechtsmitteleingabe im We- sentlichen geltend, er habe nicht vorsätzlich gehandelt, sondern sei auf- grund seiner Abstammung und der Abklärung einer [Pass-]Vermittlungs- agentur (nachfolgend: Agentur) davon ausgegangen, ihm stehe die kroati- sche Staatsbürgerschaft zu. Folglich sei er den Anweisungen der Agentur gefolgt und in einem staatlichen kroatischen Gebäude fotografiert worden, wo auch die Aushändigung des kroatischen Reisepasses erfolgt sei. Er habe bei seiner Partnerin in der Schweiz Wohnsitz genommen und bereits vor der Feststellung der angeblich gefälschten Dokumente Abklärungen bezüglich der Eheschliessung unternommen. Es würden keine Gründe mehr bestehen, weshalb er [erneut] mit dem gefälschten Dokument in die Schweiz reisen oder gegen das Gesetz verstossen würde. Er werde seine Schweizer Partnerin heiraten, so dass das Einreiseverbot obsolet werde. Während seines Aufenthalts in der Schweiz sei er nie strafrechtlich in Er- scheinung getreten und sei bestens integriert gewesen. Mit Stellungnahme vom 23. Mai 2025 brachte er ergänzend vor, sich während des gesamten Strafverfahrens kooperativ verhalten und glaubhafte Aussagen gemacht zu haben. Ein rechtskräftiges Urteil liege zudem noch nicht vor, weshalb nicht von einer derartigen Gefährdung der öffentlichen Sicherheit und Ordnung gesprochen werden könne. Die Vorinstanz verletze daher Bundesrecht, in- dem sie ein Einreiseverbot von drei Jahren ausgesprochen und keine kor- rekte Abwägung der öffentlichen und privaten Interessen vorgenommen habe.</w:t>
      </w:r>
    </w:p>
    <w:p>
      <w:r>
        <w:rPr>
          <w:b/>
        </w:rPr>
        <w:t>E. 5.3</w:t>
      </w:r>
    </w:p>
    <w:p>
      <w:r>
        <w:t>Bereits anlässlich der polizeilichen Einvernahme äusserte sich der Be- schwerdeführer dahingehend, dass der Entschluss zur Eheschliessung zwischenzeitlich erfolgt sei, nachdem er lange Zeit keine Antwort von der zuständigen Migrationsbehörde erhalten habe und daher von einer Ableh- nung seines Gesuches ausgegangen sei. Zudem gab er an, den kroati- schen Reisepass möglicherweise im Jahr 2022 erworben und für einen schnellstmöglichen Erhalt EUR 3'000.— bezahlt zu haben. Den Zweck des Passerwerbs begründete er mit der Tatsache, dass Montenegro kein Ver- tragsstaat der EU sei und somit für montenegrinische Staatsangehörige keine Möglichkeit bestehe, eine Aufenthaltsbewilligung zu erhalten. Ferner habe er bei Grenzkontrollen in der Schweiz jeweils seinen montenegrini- schen Reisepass vorgewiesen (siehe auch den Einreisestempel des Flug- hafens Zürich vom 5. Mai 2024 in seinem montenegrinischen Reisepass [SEM-act. 5]). Auf die entsprechende Frage der KAPO bestätigte er, er</w:t>
      </w:r>
    </w:p>
    <w:p>
      <w:r>
        <w:t>F-4280/2024 Seite 9 sehe nun selber, dass mit dem kroatischen Reisedokument etwas nicht in Ordnung sei. Die anlässlich der polizeilichen Einvernahme getätigten Aussagen lassen in ihrer Gesamtheit den Schluss zu, dass der Beschwerdeführer das ge- fälschte EU-Reisedokument im Wissen um seine fehlende Berechtigung daran erworben hat. Gegen einen gutgläubigen Erwerb spricht insbeson- dere der Umstand, dass er über die günstigeren Einreisevorschriften für EU/EFTA-Staatsangehörige Kenntnis hatte, nach Möglichkeiten suchte, die kroatische Staatsangehörigkeit zu erwerben, und für einen schnellst- möglichen Erhalt des Reisepasses EUR 3'000.— bezahlte. Zudem über- querte er die Schweizer Staatsgrenze gemäss eigenen Angaben jeweils mit dem heimatlichen Reisedokument und fasste den Entschluss zur Heirat nicht zuletzt auch, nachdem er zwischenzeitlich von einer Abweisung sei- nes primären Gesuches um eine EU/EFTA-Aufenthaltsbewilligung ausge- gangen ist. Einen Bezug zu kroatischen Vorfahren hat er hingegen nicht erwähnt. Die Aussagen des Beschwerdeführers sind gesamthaft betrachtet als Schutzbehauptungen zu werten.</w:t>
      </w:r>
    </w:p>
    <w:p>
      <w:r>
        <w:rPr>
          <w:b/>
        </w:rPr>
        <w:t>E. 5.4</w:t>
      </w:r>
    </w:p>
    <w:p>
      <w:r>
        <w:t>Vorliegend steht demnach fest, dass der Beschwerdeführer versuchte, unter Vorlage eines gefälschten kroatischen Reisepasses eine EU/EFTA- Aufenthaltsbewilligung zu erwirken. Gestützt auf diesen Sachverhalt wurde ein Strafverfahren wegen der Fälschung von Ausweisen und Täuschung der Behörden im Sinn des AIG eingeleitet. Zwar ist den Akten kein rechts- kräftiger Strafbefehl zu entnehmen, jedoch ist die Behörde nicht gehalten, den rechtskräftigen Abschluss eines Strafverfahrens abzuwarten, wenn die Beweislage klar ist oder die Verfehlungen von der betroffenen Person ein- gestanden werden (vgl. Urteile des BVGer F-1367/2019 vom 20. Juli 2021 E. 9.3.4, nicht publiziert in BVGE 2021 VII/4; F-4119/2020 vom 1. Oktober 2021 E. 4.1). Die kroatische Botschaft konnte die kroatische Staatsbürger- schaft des Beschwerdeführers nicht bestätigen. Der Beschwerdeführer be- streitet auch nicht, dass es sich beim in Frage stehenden Dokument um eine Fälschung handelt. Die Beweislage ist somit klar, womit das Verhalten des Beschwerdeführers zweifelsohne einen Verstoss gegen die öffentliche Sicherheit und Ordnung darstellt und damit einen Fernhaltegrund nach Art. 67 Abs. 1 Bst. c AIG begründet. Die Anordnung eines Einreiseverbots ist entsprechend dem Grundsatz nach gerechtfertigt.</w:t>
      </w:r>
    </w:p>
    <w:p>
      <w:r>
        <w:rPr>
          <w:b/>
        </w:rPr>
        <w:t>E. 6.1</w:t>
      </w:r>
    </w:p>
    <w:p>
      <w:r>
        <w:t>Der Bestand und die Dauer des Einreiseverbots sind in jedem Fall unter dem Blickwinkel der Verhältnismässigkeit staatlichen Handelns (Art. 5</w:t>
      </w:r>
    </w:p>
    <w:p>
      <w:r>
        <w:t>F-4280/2024 Seite 10 Abs. 2 BV, Art. 96 Abs. 1 AIG, Art. 67 Abs. 5 AIG) zu überprüfen. Eine Prog- nose, für welchen Zeitraum die Sicherungsmassnahme notwendig sein wird, ist naturgemäss nicht möglich. Abstufungen betreffend die Dauer er- geben sich aus der wertenden Abwägung zwischen dem öffentlichen Inte- resse an der Fernhaltung und den privaten Interessen, welche die be- troffene Person an der zeitlichen Beschränkung der Massnahme hat (BVGE 2016/33 E. 9.2; 2014/20 E. 8.1). Ausgangspunkt der Überlegungen bilden die Stellung der verletzten oder gefährdeten Rechtsgüter, die Be- sonderheiten des ordnungswidrigen Verhaltens und die persönlichen Ver- hältnisse der betroffenen ausländischen Person (Art. 96 Abs. 1 AIG; ferner statt vieler HÄFELIN/MÜLLER/UHLMANN, Allgemeines Verwaltungsrecht,</w:t>
      </w:r>
    </w:p>
    <w:p>
      <w:r>
        <w:rPr>
          <w:b/>
        </w:rPr>
        <w:t>E. 6.2</w:t>
      </w:r>
    </w:p>
    <w:p>
      <w:r>
        <w:t>Das Fehlverhalten des Beschwerdeführers wiegt objektiv nicht leicht, kommt doch den ausländerrechtlichen Normen im Zusammenhang mit Ein- reise, Aufenthalt und Aufnahme einer Erwerbstätigkeit grundsätzlich eine zentrale Bedeutung zu, wenn es darum geht, eine funktionierende Rechts- ordnung zu gewährleisten. Entsprechend ist die ausländerrechtliche Ord- nung durch eine konsequente Massnahmenpraxis zu schützen (BVGE 2014/20 E. 8.2; Urteil des BVGer F-3517/2023 vom 4. Juli 2024 E. 5.3). Es besteht daher bereits aus generalpräventiven Gründen ein öffentliches In- teresse an einer zeitlich befristeten Fernhaltung des Beschwerdeführers. Das Einreiseverbot erscheint auch aus spezialpräventiven Gründen ange- zeigt, um ihn bei künftigen Aufenthalten in der Schweiz von einem erneuten Verstoss gegen die öffentliche Sicherheit und Ordnung abzuhalten. Es be- steht demnach ein öffentliches Interesse an der Verhängung der Fernhal- temassnahme.</w:t>
      </w:r>
    </w:p>
    <w:p>
      <w:r>
        <w:rPr>
          <w:b/>
        </w:rPr>
        <w:t>E. 6.3</w:t>
      </w:r>
    </w:p>
    <w:p>
      <w:r>
        <w:t>Den öffentlichen sind die privaten Interessen des Beschwerdeführers an einer Einreise in die Schweiz gegenüberzustellen. Diesbezüglich brachte er vor, die privaten Gründe seien angesichts des tatsächlich geleb- ten Familienlebens und des Umstandes, dass der Heiratsprozess bereits eingeleitet worden sei, höher zu werten als die öffentlichen Interessen. Zu- dem habe er in der Schweiz ärztliche Untersuchungen und Folgetermine aufgrund einer (Krankheit).</w:t>
      </w:r>
    </w:p>
    <w:p>
      <w:r>
        <w:rPr>
          <w:b/>
        </w:rPr>
        <w:t>E. 6.4</w:t>
      </w:r>
    </w:p>
    <w:p>
      <w:r>
        <w:t>Auf Basis der vorhandenen Akten kann nicht davon ausgegangen wer- den, dass das Verhältnis des Beschwerdeführers mit seiner Partnerin als lang dauernde und gefestigte Partnerschaft zu qualifizieren sei oder eine Eheschliessung unmittelbar bevorstünde. So ist lediglich aktenkundig, dass ein Ehevorbereitungsverfahren eingeleitet worden sei und ein</w:t>
      </w:r>
    </w:p>
    <w:p>
      <w:r>
        <w:t>F-4280/2024 Seite 11 Visumsantrag eingereicht werden soll (s. Bestätigung der Rechtshängig- keit des Ehevorbereitungsverfahrens vom 27. März 2025 und Mailverkehr mit der Botschaft in Belgrad vom Mai 2025 in den Akten des Bundesver- waltungsgerichts [BVGer-act.] 16), über eine unmittelbar bevorstehende Hochzeit ist indes nichts bekannt. Damit ist vorliegend nicht davon auszu- gehen, dass die Beziehung in den Schutzbereich von Art. 8 EMRK fällt (vgl. Urteil des EGMR Z.H. und R.H. gegen Schweiz vom 8. Dezember 2015, Nr. 60119/12, § 42; BGE 144 I 266 E. 2.5, 144 II 1 E. 6.1; Urteil des BVGer F-55/2024 vom 19. Juli 2024 E. 2.4; je m.w.H.). Das Ehevorbereitungsver- fahren kann daher ohne weiteres im Ausland abgewartet werden. Der Kon- takt kann ferner über die modernen Kommunikationsmittel und durch Be- suchsaufenthalte seiner Verlobten bei ihm aufrechterhalten werden. Zu- dem wäre die Fernhaltemassnahme bei einer allfälligen Erteilung einer Auf- enthaltsbewilligung im Rahmen des Familiennachzugs ohnehin von der Vorinstanz aufzuheben. Hinsichtlich der gesundheitlichen Situation ist dem Arztbericht der (Arztpraxis) vom (…) Mai 2024 zu entnehmen, die Medika- tion im Rahmen der (Therapie) werde gut vertragen und es zeige sich eine deutliche Besserung der (Organfunktion). Eine Verlaufskontrolle war nach sechs Monaten geplant. Die Behandlung kann angesichts des positiven Verlaufs ohne weiteres in Montenegro fortgeführt werden, wobei es dem Beschwerdeführer offensteht, für allfällig dennoch zwingend in der Schweiz erforderliche Untersuchungen die Suspension des Einreiseverbots zu be- antragen. Anzumerken bleibt jedoch, dass sich der Beschwerdeführer an- lässlich der Stellungnahme vom 23. Mai 2025 nicht zum aktuellen Gesund- heitszustand äusserte, sodass derzeit nicht mehr von einer Notwendigkeit der medizinischen Behandlung in der Schweiz auszugehen ist.</w:t>
      </w:r>
    </w:p>
    <w:p>
      <w:r>
        <w:rPr>
          <w:b/>
        </w:rPr>
        <w:t>E. 6.5</w:t>
      </w:r>
    </w:p>
    <w:p>
      <w:r>
        <w:t>Eine wertende Gewichtung der sich gegenüberstehenden Interessen unter Berücksichtigung der Praxis in ähnlich gelagerten Fällen führt zum Ergebnis, dass ein auf drei Jahre befristetes Einreiseverbot dem Grundsatz nach und in Bezug auf seine Dauer eine verhältnismässige und angemes- sene Massnahme zum Schutz der öffentlichen Sicherheit und Ordnung darstellt. 7. 7.1 Wird gegen eine Person, die – wie vorliegend – nicht die Staatsange- hörigkeit eines Mitgliedstaats der Europäischen Union oder der Europäi- schen Freihandelsassoziation besitzt, ein Einreiseverbot verhängt, so wird sie nach Massgabe der Bedeutung des Falles im SIS zur Einreiseverwei- gerung ausgeschrieben (vgl. Art. 21 und 24 der Verordnung [EU] Nr. 2018/1861 des Europäischen Parlaments und des Rates vom</w:t>
      </w:r>
    </w:p>
    <w:p>
      <w:r>
        <w:t>F-4280/2024 Seite 12 28. November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ABl. L 312/14 vom 07.12.2018 [SIS-VO-Grenze]). 7.2 Gemäss Art. 24 Abs. 1 Bst. a SIS-VO-Grenze erfolgt eine Ausschrei- bung der Einreiseverweigerung, wenn ein Mitgliedstaat auf der Grundlage einer individuellen Beurteilung, die eine Bewertung der persönlichen Situ- ation des betreffenden Drittstaatsangehörigen umfasst, zum Schluss ge- langt, dass dessen Anwesenheit in seinem Hoheitsgebiet eine Gefahr für die öffentliche Sicherheit und Ordnung oder nationale Sicherheit darstellt, und der Mitgliedstaat daher gestützt auf innerstaatliches Recht die Ein- reise- und Aufenthaltsverweigerung erlässt und deren Ausschreibung ver- hängt hat. Diese Bestimmung sieht in Verbindung mit Art. 24 Abs. 2 Bst. c SIS-VO-Grenze eine Ausschreibung des Einreiseverbots unter anderem dann vor, wenn die drittstaatsangehörige Person Rechtsvorschriften der Union oder nationale Rechtsvorschriften über die Einreise in das und den Aufenthalt im Hoheitsgebiet der Mitgliedstaaten umgangen hat oder ver- sucht hat, diese Rechtsvorschriften zu umgehen. 7.3 Die hier zugrundeliegende Vorspiegelung einer EU-Staatsbürger- schaft, die vor der Erteilung eines Aufenthaltstitels ermittelt werden konnte, stellt eindeutig eine versuchte Umgehung der Rechtsvorschriften über die Einreise und den Aufenthalt dar. Damit sind die Voraussetzungen für eine Ausschreibung im SIS ohne weiteres erfüllt. Zudem erweist sich die Aus- schreibung des Einreiseverbots im SIS in Anbetracht des Fernhaltegrunds (vgl. E. 5.4 und 6.2) und unter Berücksichtigung der privaten Interessen des Beschwerdeführers als rechtmässig und hält vor dem Grundsatz der Verhältnismässigkeit stand. Daran vermag auch das Vorbringen des Be- schwerdeführers, das EU-Reisedokument gutgläubig erworben zu haben, angesichts der unglaubhaften Darlegung nichts zu ändern (vgl. E. 5.3 f.).</w:t>
      </w:r>
    </w:p>
    <w:p>
      <w:r>
        <w:rPr>
          <w:b/>
        </w:rPr>
        <w:t>E. 7.1</w:t>
      </w:r>
    </w:p>
    <w:p>
      <w:r>
        <w:t>Wird gegen eine Person, die - wie vorliegend -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w:t>
      </w:r>
    </w:p>
    <w:p>
      <w:r>
        <w:rPr>
          <w:b/>
        </w:rPr>
        <w:t>E. 7.2</w:t>
      </w:r>
    </w:p>
    <w:p>
      <w:r>
        <w:t>Gemäss Art. 24 Abs. 1 Bst. a SIS-VO-Grenze erfolgt eine Ausschreibung der Einreiseverweigerung, wenn ein Mitgliedstaat auf der Grundlage einer individuellen Beurteilung, die eine Bewertung der persönlichen Situation des betreffenden Drittstaatsangehörigen umfasst, zum Schluss gelangt, dass dessen Anwesenheit in seinem Hoheitsgebiet eine Gefahr für die öffentliche Sicherheit und Ordnung oder nationale Sicherheit darstellt, und der Mitgliedstaat daher gestützt auf innerstaatliches Recht die Einreise- und Aufenthaltsverweigerung erlässt und deren Ausschreibung verhängt hat. Diese Bestimmung sieht in Verbindung mit Art. 24 Abs. 2 Bst. c SIS-VO-Grenze eine Ausschreibung des Einreiseverbots unter anderem dann vor, wenn die drittstaatsangehörige Person Rechtsvorschriften der Union oder nationale Rechtsvorschriften über die Einreise in das und den Aufenthalt im Hoheitsgebiet der Mitgliedstaaten umgangen hat oder versucht hat, diese Rechtsvorschriften zu umgehen.</w:t>
      </w:r>
    </w:p>
    <w:p>
      <w:r>
        <w:rPr>
          <w:b/>
        </w:rPr>
        <w:t>E. 7.3</w:t>
      </w:r>
    </w:p>
    <w:p>
      <w:r>
        <w:t>Die hier zugrundeliegende Vorspiegelung einer EU-Staatsbürgerschaft, die vor der Erteilung eines Aufenthaltstitels ermittelt werden konnte, stellt eindeutig eine versuchte Umgehung der Rechtsvorschriften über die Einreise und den Aufenthalt dar. Damit sind die Voraussetzungen für eine Ausschreibung im SIS ohne weiteres erfüllt. Zudem erweist sich die Ausschreibung des Einreiseverbots im SIS in Anbetracht des Fernhaltegrunds (vgl. E. 5.4 und 6.2) und unter Berücksichtigung der privaten Interessen des Beschwerdeführers als rechtmässig und hält vor dem Grundsatz der Verhältnismässigkeit stand. Daran vermag auch das Vorbringen des Beschwerdeführers, das EU-Reisedokument gutgläubig erworben zu haben, angesichts der unglaubhaften Darlegung nichts zu ändern (vgl. E. 5.3 f.).</w:t>
      </w:r>
    </w:p>
    <w:p>
      <w:r>
        <w:rPr>
          <w:b/>
        </w:rPr>
        <w:t>E. 8</w:t>
      </w:r>
    </w:p>
    <w:p>
      <w:r>
        <w:t>Aus den vorstehenden Erwägungen ergibt sich, dass die angefochtene Verfügung im Licht von Art. 49 VwVG zu bestätigen ist. Die Beschwerde ist abzuweisen.</w:t>
      </w:r>
    </w:p>
    <w:p>
      <w:r>
        <w:rPr>
          <w:b/>
        </w:rPr>
        <w:t>E. 9</w:t>
      </w:r>
    </w:p>
    <w:p>
      <w:r>
        <w:t>Entsprechend dem Ausgang des Verfahrens sind die Kosten dem Be- schwerdeführer aufzuerlegen (Art. 63 Abs. 1 VwVG) und auf insgesamt</w:t>
      </w:r>
    </w:p>
    <w:p>
      <w:r>
        <w:t>F-4280/2024 Seite 13 Fr. 1'000.– festzusetzen (Art. 1 ff. des Reglements vom 21. Februar 2008 über Kosten und Entschädigungen vor dem Bundesverwaltungsgericht [VGKE, SR 173.320.2]). Der Beschwerdeführer ist erst im Beschwerdever- fahren zu einer gehörswahrenden Würdigung seiner privaten Interessen und damit verbundenen rechtsgenügenden Begründung gelangt, was es im Kostenpunkt zu berücksichtigen gilt (vgl. E. 3.5). Angesichts dessen sind die Verfahrenskosten auf Fr. 800.– zu reduzieren. Die Differenz zwischen dem einbezahlten Kostenvorschuss und den Verfahrenskosten ist dem Be- schwerdeführer zurückzuerstatten. Eine Parteientschädigung fällt aus- gangsgemäss ausser Betracht (Art. 64 Abs. 1 VwVG). (Dispositiv nächste Seite)</w:t>
      </w:r>
    </w:p>
    <w:p>
      <w:r>
        <w:t>F-4280/2024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