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F-4278/2023 vom 3. März 2025</w:t>
      </w:r>
    </w:p>
    <w:p>
      <w:r>
        <w:t>Bundesverwaltungsgericht, 2025-03-03, DE</w:t>
      </w:r>
    </w:p>
    <w:p>
      <w:r>
        <w:rPr>
          <w:b/>
        </w:rPr>
        <w:t xml:space="preserve">Quelle: </w:t>
      </w:r>
      <w:r>
        <w:t>https://mcp.opencaselaw.ch/entscheid/bvger_F-4278_2023</w:t>
      </w:r>
    </w:p>
    <w:p>
      <w:r>
        <w:t>FR: TAF F-4278/2023 du 3 mars 2025</w:t>
      </w:r>
    </w:p>
    <w:p>
      <w:r>
        <w:t>IT: TAF F-4278/2023 del 3 marzo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Der Beschwerdeführer rügt in formeller Hinsicht, sein Anspruch auf rechtliches Gehör sei verletzt worden, weil er vor dem Erlass der angefoch-</w:t>
      </w:r>
    </w:p>
    <w:p>
      <w:r>
        <w:t>F-4278/2023 Seite 5 tenen Verfügung des SEM nicht zur beabsichtigten Verhängung des Ein- reiseverbots und dessen voraussichtlicher Dauer angehört worden sei.</w:t>
      </w:r>
    </w:p>
    <w:p>
      <w:r>
        <w:rPr>
          <w:b/>
        </w:rPr>
        <w:t>E. 3.2</w:t>
      </w:r>
    </w:p>
    <w:p>
      <w:r>
        <w:t>Das Recht des Betroffenen, vor Erlass einer Verfügung angehört zu werden (vgl. Art. 30 Abs. 1 VwVG), stellt einen wesentlichen Teilgehalt des in Art. 29 Abs. 2 der Bundesverfassung der Schweizerischen Eidgenossen- schaft vom 18. April 1999 (BV, SR 101) statuierten Anspruchs auf rechtli- ches Gehör dar (vgl. z. B. BGE 132 II 485 E. 3.2 S. 494, 129 V 73 E. 4.1 S. 74, je m.H.).</w:t>
      </w:r>
    </w:p>
    <w:p>
      <w:r>
        <w:rPr>
          <w:b/>
        </w:rPr>
        <w:t>E. 3.3</w:t>
      </w:r>
    </w:p>
    <w:p>
      <w:r>
        <w:t>Aus den Akten ist nicht ersichtlich, dass dem Beschwerdeführer vor- gängig Gelegenheit zur Stellungnahme zum Einreiseverbot eingeräumt worden wäre. Er beruft sich daher grundsätzlich zu Recht auf eine Verlet- zung seines Gehörsanspruchs. Diese Verfahrensverletzung ist indessen als nachträglich geheilt zu betrachten, da er auf Beschwerdeebene mehr- fach Gelegenheit gehabt hat, sich zur Anordnung des Einreiseverbots zu äussern und das Bundesverwaltungsgericht in der vorliegenden Beschwer- desache über volle Kognition verfügt (vgl. BGE 133 I 201 E. 2.2 S. 204 f., 132 V 387 E. 5.1 S. 390, 131 II 271 E. 11.7.1 S. 304, je m.H.).</w:t>
      </w:r>
    </w:p>
    <w:p>
      <w:r>
        <w:rPr>
          <w:b/>
        </w:rPr>
        <w:t>E. 3.4</w:t>
      </w:r>
    </w:p>
    <w:p>
      <w:r>
        <w:t>Weiter rügt der Beschwerdeführer eine Verletzung der Aktenführungs- pflicht. Die angefochtene Verfügung sei am selben Tag ergangen, an wel- chem sein Rechtsvertreter beim SEM um Akteneinsicht ersucht habe. Den daraufhin zugesandten Akten fehle der Antrag des Kantons B._______ oder das Begleitschreiben, mit welchem das Migrationsamt der Vorinstanz Akten zugesandt hätte. Ob und mit welcher Begründung das Migrationsamt ein Gesuch bei der Vorinstanz um Erlass eines Einreiseverbots gestellt habe, sei jedoch für das vorinstanzliche Verfahren relevant.</w:t>
      </w:r>
    </w:p>
    <w:p>
      <w:r>
        <w:rPr>
          <w:b/>
        </w:rPr>
        <w:t>E. 3.4.1</w:t>
      </w:r>
    </w:p>
    <w:p>
      <w:r>
        <w:t>Dazu hält die Vorinstanz in ihrer Vernehmlassung fest, das Administ- rieren einer sehr hohen Zahl von Einreiseverboten geschehe praxisge- mäss nur elektronisch, mithin im Zentralen Migrationsinformationssystem (ZEMIS), weshalb sich naturgemäss kein physischer Antrag des Migrati- onsamtes in den Akten befinde. Der Antrag mit der Übermittlung der Akten sei systemtechnisch am 29. Juni 2023 geschehen. Ohnehin setze die Ver- fügung eines Einreiseverbotes nach Art. 67 AIG keinen kantonalen Antrag voraus. Die Schreiben vom 20. (verfasst vom Kanton) und 27. März 2023 (verfasst vom Beschwerdeführer) würden sich tatsächlich nicht in den SEM-Akten finden lassen, weshalb sei nicht mehr rekonstruierbar. Im Rah- men der Vernehmlassung seien diese Aktenstücke seitens des Kantons dem SEM (nochmals) übermittelt worden. Der Wegweisungsverfügung des</w:t>
      </w:r>
    </w:p>
    <w:p>
      <w:r>
        <w:t>F-4278/2023 Seite 6 Migrationsamtes vom 5. April 2023, welche sich im Zeitpunkt der Verfü- gung nachweislich in den SEM-Akten befunden habe, könne aber entnom- men werden, dass die Stellungnahme des Beschwerdeführers zum recht- lichen Gehör sowie der Antrag auf das Einreiseverbot dem SEM weiterge- leitet worden seien. Selbst wenn die Stellungnahme des Beschwerdefüh- rers vom 27. März 2023 zum Erlass einer Fernhaltemassnahme nicht vor- gelegen hätte, hätte sie am Entscheid des SEM vom 4. Juli 2023 nichts geändert, da bei einer Verletzung des rechtlichen Gehörs eine Heilung der- selben möglich sei.</w:t>
      </w:r>
    </w:p>
    <w:p>
      <w:r>
        <w:rPr>
          <w:b/>
        </w:rPr>
        <w:t>E. 3.4.2</w:t>
      </w:r>
    </w:p>
    <w:p>
      <w:r>
        <w:t>In seiner Replik erachtet der Beschwerdeführer die Behauptung des SEM, das Migrationsamt habe ein Begehren um Erlass eines Einreisever- bots gegen ihn gestellt, als aktenwidrig. So sei es nicht der Zweck des ZEMIS, Begehren zwischen kantonalen Migrationsämtern und dem SEM zu übermitteln. Ferner gebe die Vorinstanz zu, dass sie seinen Anspruch auf rechtliches Gehör verletzt habe, und stelle diesen Umstand erst noch als etwas Gewöhnliches dar.</w:t>
      </w:r>
    </w:p>
    <w:p>
      <w:r>
        <w:rPr>
          <w:b/>
        </w:rPr>
        <w:t>E. 3.4.3</w:t>
      </w:r>
    </w:p>
    <w:p>
      <w:r>
        <w:t>Die Aktenführungspflicht ergibt sich aus dem Akteneinsichtsrecht, welches in Art. 26 ff. VwVG geregelt ist und einen Teilgehalt des Anspruchs auf rechtliches Gehör darstellt. Die Aktenführung hat geordnet, übersicht- lich sowie vollständig zu sein und es muss ersichtlich werden, wer sie er- stellt hat und wie sie zustande gekommen ist (vgl. dazu ausführlich BVGE 2011/37 E. 5.4.1). Vorliegend hat das SEM zunächst am 6. Juli 2023 Ak- teneinsicht gewährt (Akteneinsichtsgesuch vom 3. Juli 2023) und dem Be- schwerdeführer in der Folge auf sein Gesuch um ergänzende Aktenein- sicht vom 28. Juli 2023 gleichentags die paginierten Akten mit Aktenver- zeichnis zukommen lassen. Im Aktenverzeichnis wurden die Aktenstücke sodann nummeriert und einzeln beschrieben; auch ist der Ersteller des Ver- zeichnisses ersichtlich.</w:t>
      </w:r>
    </w:p>
    <w:p>
      <w:r>
        <w:t>Soweit im Umstand, wonach die kantonalen Schreiben vom 20. und 27. März 2023 gemäss SEM aus nicht nachvollziehbaren Gründen im vor- instanzlichen Verfahren keinen Eingang in die Akten gefunden hätten, eine Verletzung der Aktenführungspflicht erkannt werden kann, ist dieser Man- gel als geheilt zu erachten, zumal die Verletzung auf Beschwerdeebene behoben wurde (Übermittlung dieser Schriftstücke vom Kanton an das SEM im Verlauf der vorinstanzlichen Vernehmlassung; Möglichkeit zur Stellungnahme im Rahmen des Replikrechts). Überdies standen dem Be- schwerdeführer im Zeitpunkt der Beschwerdeerhebung (mit vorgängigem Aktenstudium) die beiden fraglichen Aktenstücke bereits zur Verfügung,</w:t>
      </w:r>
    </w:p>
    <w:p>
      <w:r>
        <w:t>F-4278/2023 Seite 7 nachdem ihm (respektive seinem Rechtsvertreter) das Schreiben vom 20. März 2023 vom Migrationsamt direkt eröffnet wurde und es sich beim Dokument vom 27. März 2023 um seine eigene Stellungnahme handelt.</w:t>
      </w:r>
    </w:p>
    <w:p>
      <w:r>
        <w:rPr>
          <w:b/>
        </w:rPr>
        <w:t>E. 4.1</w:t>
      </w:r>
    </w:p>
    <w:p>
      <w:r>
        <w:t>Nach Art. 67 Abs. 1 Bst. c AIG kann das SEM unter Vorbehalt von Ab- satz 5 ein Einreiseverbot gegenüber Ausländerinnen und Ausländern ver- fügen, die gegen die öffentliche Sicherheit und Ordnung in der Schweiz oder im Ausland verstossen haben oder diese gefährden. Ein Verstoss ge- gen die öffentliche Sicherheit und Ordnung liegt insbesondere vor bei einer Missachtung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t>F-4278/2023 Seite 8</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dass der Be- schwerdeführer vom (Nennung Gericht) mit Urteil vom (...) wegen (Nen- nung Delikte) zu einer Freiheitsstrafe von (...) Monaten verurteilt und mit einer Geldstrafe von (...) bestraft worden sei. Er sei in der Zwischenzeit aus dem Strafvollzug entlassen und aufgefordert worden, die Schweiz bis am</w:t>
      </w:r>
    </w:p>
    <w:p>
      <w:r>
        <w:rPr>
          <w:b/>
        </w:rPr>
        <w:t>E. 5.2</w:t>
      </w:r>
    </w:p>
    <w:p>
      <w:r>
        <w:t>Der Beschwerdeführer führt demgegenüber in seiner Beschwerde an, das Strafurteil des (Nennung Gericht) vom (...) sei nicht in Rechtskraft er- wachsen. Dem Strafurteil fehle es an einer Sachverhaltsdarstellung sowie einer Urteilsbegründung, weshalb daraus der strafrechtliche Vorwurf nicht ersichtlich sei. Das SEM wisse daher nicht, ob das Strafgericht explizit auf die Anordnung einer Landesverweisung verzichtet habe oder nicht. Auf- grund der angemeldeten Berufung und der fehlenden Rechtskraft des Strafurteils wäre demnach die Anordnung der Landesverweisung oder der</w:t>
      </w:r>
    </w:p>
    <w:p>
      <w:r>
        <w:t>F-4278/2023 Seite 9 Verzicht hierauf nicht rechtskräftig. Für die Verhängung eines Einreisever- bots von mehr als drei Jahren müsse aber ein rechtskräftiges und begrün- detes Strafurteil vorliegen, damit beurteilt werden könne, ob das Einreise- verbot nicht gegen das Verbot des Dualismus verstosse. Ferner lasse sich aus einem nicht rechtskräftigen Strafurteil ohne Kenntnis des zugrundelie- genden Sachverhalts und des Strafvorwurfs kein vergangenes Verhalten des Betroffenen ableiten, welches in Bezug auf eine allfällige Gefährdung der öffentlichen Sicherheit und Ordnung geprüft werden könne. Ein nicht rechtskräftiges Strafurteil sei kein Verdachtsmoment. Zwar könne aus im Strafverfahren erhobenen Beweisen und dem dort erwiesenen Verhalten eines Betroffenen eine allfällige Gefährdung der öffentlichen Sicherheit und Ordnung abgeleitet werden. Ein nicht rechtskräftiges Dispositiv eines Straf- urteils sei hingegen ungeeignet, etwas über das Verhalten eines Betroffe- nen auszusagen. Der von der Vorinstanz angeführte Grund, namentlich das erwähnte Strafurteil, stelle somit keinen rechtmässigen Grund für den Erlass des Einreiseverbots dar. Indem die Vorinstanz aus der nicht rechts- kräftigen Verurteilung seiner Person ohne Kenntnis des zugrundeliegen- den Sachverhalts auf eine Gefährdung der öffentlichen Sicherheit und Ord- nung geschlossen habe, verletze sie die Unschuldsvermutung.</w:t>
      </w:r>
    </w:p>
    <w:p>
      <w:r>
        <w:rPr>
          <w:b/>
        </w:rPr>
        <w:t>E. 5.3</w:t>
      </w:r>
    </w:p>
    <w:p>
      <w:r>
        <w:t>In seiner Vernehmlassung hält das SEM fest, aus der Stellungnahme vom 27. März 2023 sowie den weiteren Akten seien keine aussergewöhn- lichen, schwerwiegenden privaten Interessen des Beschwerdeführers er- sichtlich, welche das öffentliche Interesse an seiner Fernhaltung überwie- gen könnten und zu einem anderen Entscheid führen würden. In Bezug auf die Verhältnismässigkeitsprüfung sei zu beachten, dass er aufgrund der rechtskräftigen Nichterteilung der Aufenthaltsbewilligung an ihn und seine Familie ohnehin nicht mehr in der Schweiz wohnen könne. Auch würden aufgrund der Akten keine humanitären oder anderen wichtigen Gründe be- stehen, welche rechtfertigen könnten, von der Verhängung eines Einreise- verbots ganz abzusehen (Art. 67 Abs. 5 AIG). Das private Interesse des Beschwerdeführers an einer ungehinderten Einreise in die Schweiz und den Schengen-Raum sei vor diesem Hintergrund gegenüber dem öffentli- chen Interesse an der Fernhaltung als untergeordnet zu erachten. Ferner dürfe ein Einreiseverbot unabhängig vom Strafverfahren verfügt und auch verhängt werden, wenn ein rechtskräftiges Urteil fehle; so handle es sich bei der Anordnung eines Einreiseverbotes doch um eine präventivpolizeili- che Massnahme, welche nicht an die Erfüllung einer Strafnorm, sondern an das Vorliegen einer Polizeigefahr geknüpft sei. Der Beschwerdeführer habe klarerweise gegen die öffentliche Ordnung und Sicherheit verstossen, weshalb der Fernhaltegrund erfüllt sei. Aus den vorliegenden Akten habe</w:t>
      </w:r>
    </w:p>
    <w:p>
      <w:r>
        <w:t>F-4278/2023 Seite 10 der Sachverhalt in Bezug auf die Gefährdung der öffentlichen Ordnung und Sicherheit hinreichend erstellt werden können. Bezüglich der Unschulds- vermutung sei ergänzend festzuhalten, dass sie im Administrativverfahren keine Geltung beanspruchen könne.</w:t>
      </w:r>
    </w:p>
    <w:p>
      <w:r>
        <w:rPr>
          <w:b/>
        </w:rPr>
        <w:t>E. 5.4</w:t>
      </w:r>
    </w:p>
    <w:p>
      <w:r>
        <w:t>Dem hält der Beschwerdeführer in seiner Replik entgegen, dass aus den Akten der Vorinstanz der Sachverhalt, aufgrund dessen er mit – nicht rechtskräftigem – Urteil vom (...) des (Nennung Gericht) verurteilt worden sei, nicht hervorgehe. Die Ausfertigung des begründeten Strafurteils stehe weiterhin aus. Auch seien weder die Anklageschrift der Staatsanwaltschaft B._______ noch die den Sachverhalt belegenden Beweismittel in den vor- instanzlichen Akten enthalten. Die Behauptung der Vorinstanz, er würde die öffentliche Sicherheit und Ordnung gefährden, sei daher unzutreffend. Mithin fehle ein Verfügungsgrund für den Erlass eines Einreiseverbotes. Bezüglich der Unschuldsvermutung lägen keine hinreichenden Verdachts- momente vor, die den Erlass eines Einreiseverbotes – auch bei Fehlen ei- nes rechtskräftigen Urteils – rechtfertigen könnten.</w:t>
      </w:r>
    </w:p>
    <w:p>
      <w:r>
        <w:rPr>
          <w:b/>
        </w:rPr>
        <w:t>E. 5.5</w:t>
      </w:r>
    </w:p>
    <w:p>
      <w:r>
        <w:t>In seiner Stellungnahme vom 8. April 2024 führt der Beschwerdeführer schliesslich an, aus dem begründeten Strafurteil vom (...) lasse sich nichts zu seinen Ungunsten ableiten. Aufgrund der politischen Motivation und sei- ner missbräuchlichen Verurteilung in C._______ könne einzig und allein wegen dieser Tatsache und ohne weitere Anhaltspunkte nicht davon aus- gegangen werden, dass er tatsächlich gegen die öffentliche Sicherheit und Ordnung in C._______ verstossen habe. Entsprechend dürfe auf das C._______ Strafurteil, welches im begründeten Strafurteil nur nebenbei er- wähnt werde, nicht abgestellt werden und dürfe dieses auch bei der Ent- scheidfindung nicht berücksichtigt werden. Weiter würden sich in den Ak- ten der Vorinstanz das Urteil (...) des (Nennung Gericht) und das Bundes- gerichtsurteil 20_32/2022 vom 25. November 2022 wiederfinden. Gegen- stand der Urteile sei die Ablehnung der Erteilung einer Aufenthaltsbewilli- gung gewesen. In diesen Urteilen sei ebenfalls seine Verurteilung in C._______ erwähnt worden. Sowohl die Vorinstanz als auch das Migrati- onsamt hätten diese Verurteilung jedoch ohne Abklärung des massgeben- den Sachverhalts zum Anlass genommen, gegen ihn ein Einreiseverbot zu verhängen. Umso weniger dürfe auf diese Verurteilung nun behelfsmässig zurückgegriffen werden, zumal das begründete Urteil keine hinreiche Grundlage für den Erlass eines Einreiseverbots darstelle. Im Weiteren habe er die Verfehlungen weder ganz noch teilweise eingestanden und der Sachverhalt sei und bleibe umstritten, so hinsichtlich seiner (nicht rechts- kräftigen) Verurteilungen wegen (Nennung Straftatbestände). Er werde im</w:t>
      </w:r>
    </w:p>
    <w:p>
      <w:r>
        <w:t>F-4278/2023 Seite 11 Berufungsverfahren seine Unschuld beweisen. Zudem würden die Akten nichts enthalten, was zur Klärung der strafrechtlichen Vorwürfe beitragen könnte. Aus den Freisprüchen und den Einstellungsverfügungen vom (...) könne und dürfe bezüglich des Einreiseverbots nichts zu seinen Lasten abgeleitet werden. Würden die Verfahren in C._______ berücksichtigt, sei der Schluss zulässig, dass das schweizerische Strafverfahren gegen ihn ein Teil der Auseinandersetzungen zwischen ihm und seinem ehemaligen Geschäftspartner sei. Aufgrund der Unschuldsvermutung gelte er weiterhin als unbescholten und aufgrund der privaten Natur der Auseinandersetzung könne nicht behauptet werden, er habe die öffentliche Ordnung und Sicher- heit verletzt oder er würde diese gefährden. 6. 6.1 Vorweg gilt zu prüfen, ob das fünfjährige Einreiseverbot, welches sich auf eine – nicht rechtskräftige – Verurteilung wegen (Nennung Straftatbe- stände) stützt, das Dualismusverbot verletzt. 6.1.1 Am 1. Oktober 2016 sind im Zuge der Umsetzung des mit der An- nahme der Ausschaffungsinitiative geschaffenen Art. 121 Abs. 3 bis 6 BV die Bestimmungen über die obligatorische und fakultative Landesverwei- 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 gericht bereits eine Strafe oder Massnahme verhängt, jedoch von einer Landesverweisung abgesehen hat. Damit sollte vermieden werden, dass der unter dem früheren Recht bestandene Dualismus von strafrechtlicher Landesverweisung und ausländerrechtlichem Bewilligungswiderruf wieder eingeführt würde. Der ausländerrechtliche Widerruf ist daher unzulässig, wenn er allein gestützt auf ein Delikt erfolgt, für das ein Strafgericht bereits eine Strafe oder Massnahme verhängt und keine Landesverweisung aus- gesprochen hat (vgl. hierzu Urteil des BVGer F-3533/2021 vom 8. März 2023 E. 5.1 m.H.). 6.1.2 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w:t>
      </w:r>
    </w:p>
    <w:p>
      <w:r>
        <w:t>F-4278/2023 Seite 12 zu verfahren ist, wenn die betroffene Person – wie in casu – keinen Aufent- haltstitel besitzt, lässt sich dem AIG weder unmittelbar noch mittelbar eine Antwort entnehmen. In seinem Grundsatzurteil BVGE 2023 VII/7 nahm sich das Bundesverwaltungsgericht dieser Frage im Kontext der fakultati- ven Landesverweisung nach Art. 66abis StGB an. Es erkannte eine echte Gesetzeslücke, die es modo legislatoris unter Berücksichtigung der vom Gesetzgeber verfolgten Ziele – der Vermeidung des Dualismus und der Verschärfung der bestehenden Praxis gegenüber straffälligen Ausländerin- nen und Ausländern – durch eine differenzierte Regelung schloss (ebenda E. 5 und 6.1-6.2 m.H.). Dabei hielt es unter anderem fest, dass der implizite Verzicht auf eine fakultative Landesverweisung in dem Sinne, dass die Staatsanwaltschaft den Fall mit einem Strafbefehl erledigt oder das Straf- gericht diese Frage in seinem Urteil nicht behandelt, obwohl es dazu befugt wäre, das SEM nicht bindet (Urteil F-1776/2019 E. 6.4 m.w.H.). 6.1.3 Der Beschwerdeführer wurde mit Urteil des (Nennung Gericht) vom (...) wegen (Nennung Delikte) zu einer Freiheitsstrafe von (...) Monaten ver- urteilt und mit einer Geldstrafe von (...) bestraft. Gegen dieses Urteil legten die Parteien Berufung ein (vgl. Beschwerdebeilagen 7 und 8). Bei den auf- geführten Straftatbeständen handelt es sich um Delikte, welche gemäss Art. 66abis StGB einer fakultativen Landesverweisung zugänglich sind. 6.1.4 Nachdem das (Nennung Gericht) die Frage einer fakultativen Lan- desverweisung in seinem Urteil nicht behandelte, obwohl es dazu befugt gewesen wäre, stellt dies mithin einen impliziten Verzicht dar, welcher das SEM nicht bindet (Urteil F-1776/2019 E. 6.4 m.w.H.). 6.1.5 Als Zwischenergebnis ist festzustellen, dass die Vorinstanz vorlie- gend nicht an die strafrechtliche Beurteilung gebunden war und somit das Dualismusverbot nicht verletzt hat. Mit dem von der Staatsanwaltschaft des Kantons B._______ zur Anklage gebrachten Verhalten des Beschwerdeführers liegt eine Störung der öffent- lichen Sicherheit und Ordnung im Sinne von Art. 67 Abs. 1 Bst. c AIG vor, die grundsätzlich ein Einreiseverbot rechtfertigen kann.</w:t>
      </w:r>
    </w:p>
    <w:p>
      <w:r>
        <w:rPr>
          <w:b/>
        </w:rPr>
        <w:t>E. 6.1</w:t>
      </w:r>
    </w:p>
    <w:p>
      <w:r>
        <w:t>Vorweg gilt zu prüfen, ob das fünfjährige Einreiseverbot, welches sich auf eine - nicht rechtskräftige - Verurteilung wegen (Nennung Straftatbestände) stützt, das Dualismusverbot verletzt.</w:t>
      </w:r>
    </w:p>
    <w:p>
      <w:r>
        <w:rPr>
          <w:b/>
        </w:rPr>
        <w:t>E. 6.1.1</w:t>
      </w:r>
    </w:p>
    <w:p>
      <w:r>
        <w:t>Am 1. Oktober 2016 sind im Zuge der Umsetzung des mit der Annahme der Ausschaffungsinitiative geschaffenen Art. 121 Abs. 3 bis 6 BV die Bestimmungen über die obligatorische und fakultative Landesverweisung (Art. 66a ff. StGB) in Kraft getreten. Gleichzeitig wurden Art. 62 Abs. 2 AIG und Art. 63 Abs. 3 AIG eingeführt, die den Widerruf von Bewilligungen (und anderer Verfügungen nach dem AIG) für unzulässig erklären, der nur damit begründet wird, dass ein Delikt begangen wurde, für das ein Strafgericht bereits eine Strafe oder Massnahme verhängt, jedoch von einer Landesverweisung abgesehen hat. Damit sollte vermieden werden, dass der unter dem früheren Recht bestandene Dualismus von strafrechtlicher Landesverweisung und ausländerrechtlichem Bewilligungswiderruf wieder eingeführt würde. Der ausländerrechtliche Widerruf ist daher unzulässig, wenn er allein gestützt auf ein Delikt erfolgt, für das ein Strafgericht bereits eine Strafe oder Massnahme verhängt und keine Landesverweisung ausgesprochen hat (vgl. hierzu Urteil des BVGer F-3533/2021 vom 8. März 2023 E. 5.1 m.H.).</w:t>
      </w:r>
    </w:p>
    <w:p>
      <w:r>
        <w:rPr>
          <w:b/>
        </w:rPr>
        <w:t>E. 6.1.2</w:t>
      </w:r>
    </w:p>
    <w:p>
      <w:r>
        <w:t>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 zu verfahren ist, wenn die betroffene Person - wie in casu - keinen Aufenthaltstitel besitzt, lässt sich dem AIG weder unmittelbar noch mittelbar eine Antwort entnehmen. In seinem Grundsatzurteil BVGE 2023 VII/7 nahm sich das Bundesverwaltungsgericht dieser Frage im Kontext der fakultativen Landesverweisung nach Art. 66abis StGB an. Es erkannte eine echte Gesetzeslücke, die es modo legislatoris unter Berücksichtigung der vom Gesetzgeber verfolgten Ziele - der Vermeidung des Dualismus und der Verschärfung der bestehenden Praxis gegenüber straffälligen Ausländerinnen und Ausländern - durch eine differenzierte Regelung schloss (ebenda E. 5 und 6.1-6.2 m.H.). Dabei hielt es unter anderem fest, dass der implizite Verzicht auf eine fakultative Landesverweisung in dem Sinne, dass die Staatsanwaltschaft den Fall mit einem Strafbefehl erledigt oder das Strafgericht diese Frage in seinem Urteil nicht behandelt, obwohl es dazu befugt wäre, das SEM nicht bindet (Urteil F-1776/2019 E. 6.4 m.w.H.).</w:t>
      </w:r>
    </w:p>
    <w:p>
      <w:r>
        <w:rPr>
          <w:b/>
        </w:rPr>
        <w:t>E. 6.1.3</w:t>
      </w:r>
    </w:p>
    <w:p>
      <w:r>
        <w:t>Der Beschwerdeführer wurde mit Urteil des (Nennung Gericht) vom (...) wegen (Nennung Delikte) zu einer Freiheitsstrafe von (...) Monaten verurteilt und mit einer Geldstrafe von (...) bestraft. Gegen dieses Urteil legten die Parteien Berufung ein (vgl. Beschwerdebeilagen 7 und 8). Bei den aufgeführten Straftatbeständen handelt es sich um Delikte, welche gemäss Art. 66abis StGB einer fakultativen Landesverweisung zugänglich sind.</w:t>
      </w:r>
    </w:p>
    <w:p>
      <w:r>
        <w:rPr>
          <w:b/>
        </w:rPr>
        <w:t>E. 6.1.4</w:t>
      </w:r>
    </w:p>
    <w:p>
      <w:r>
        <w:t>Nachdem das (Nennung Gericht) die Frage einer fakultativen Landesverweisung in seinem Urteil nicht behandelte, obwohl es dazu befugt gewesen wäre, stellt dies mithin einen impliziten Verzicht dar, welcher das SEM nicht bindet (Urteil F-1776/2019 E. 6.4 m.w.H.).</w:t>
      </w:r>
    </w:p>
    <w:p>
      <w:r>
        <w:rPr>
          <w:b/>
        </w:rPr>
        <w:t>E. 6.1.5</w:t>
      </w:r>
    </w:p>
    <w:p>
      <w:r>
        <w:t>Als Zwischenergebnis ist festzustellen, dass die Vorinstanz vorliegend nicht an die strafrechtliche Beurteilung gebunden war und somit das Dualismusverbot nicht verletzt hat. Mit dem von der Staatsanwaltschaft des Kantons B._______ zur Anklage gebrachten Verhalten des Beschwerdeführers liegt eine Störung der öffentlichen Sicherheit und Ordnung im Sinne von Art. 67 Abs. 1 Bst. c AIG vor, die grundsätzlich ein Einreiseverbot rechtfertigen kann.</w:t>
      </w:r>
    </w:p>
    <w:p>
      <w:r>
        <w:rPr>
          <w:b/>
        </w:rPr>
        <w:t>E. 7</w:t>
      </w:r>
    </w:p>
    <w:p>
      <w:r>
        <w:t>Juli 2023 zu verlassen. Die begangenen Delikte würden einen Verstoss gegen die Gesetzgebung darstellen, womit eine Gefährdung der öffentli- chen Sicherheit und Ordnung einhergehe (Art. 67 Abs. 1 Bst. c AIG). Der Erlass einer Fernhaltemassnahme von 5 Jahren zur Vermeidung künftiger Delikte sei auch unter Berücksichtigung der privaten Interessen des Be- schwerdeführers gerechtfertigt und verhältnismässig. Er habe während der Dauer des Einreiseverbots zu beweisen, dass er gewillt und fähig sei, sich in Zukunft an die geltende Rechtsordnung zu halten. Private Interessen, die das öffentliche Interesse an künftigen kontrollierten Einreisen überwie- gen könnten, würden sich weder aus den Akten ergeben noch seien solche im Rahmen des rechtlichen Gehörs geltend gemacht worden.</w:t>
      </w:r>
    </w:p>
    <w:p>
      <w:r>
        <w:rPr>
          <w:b/>
        </w:rPr>
        <w:t>E. 7.1</w:t>
      </w:r>
    </w:p>
    <w:p>
      <w:r>
        <w:t>Der Beschwerdeführer wendet sodann ein, dass er gegen das Strafur- teil vom (...) fristgerecht Berufung eingelegt habe, weshalb dieses noch nicht in Rechtskraft erwachsen sei. In diesem Berufungsverfahren werde er seine Unschuld beweisen.</w:t>
      </w:r>
    </w:p>
    <w:p>
      <w:r>
        <w:t>F-4278/2023 Seite 13</w:t>
      </w:r>
    </w:p>
    <w:p>
      <w:r>
        <w:rPr>
          <w:b/>
        </w:rPr>
        <w:t>E. 7.2</w:t>
      </w:r>
    </w:p>
    <w:p>
      <w:r>
        <w:t>Dem Beschwerdeführer wird unter anderem vorgeworfen, er habe (Darlegung Vorwürfe). Das (Nennung Gericht) befand ihn am (...) deshalb des (Nennung Straftatbestände) schuldig. Zwar ist dieses Urteil noch nicht rechtskräftig. Jedoch gelten im Administrativverfahren andere Verfahrens- und Beweisregeln als im Strafrecht. Das Strafrecht und das Ausländerrecht verfolgen unterschiedliche Ziele, schützen andere Interessen und sind von- einander unabhängig. So ist die Nichtbeachtung der öffentlichen Sicherheit und Ordnung im Sinne des Ausländerrechts nicht notwendigerweise mit der Verletzung von Strafbestimmungen deckungsgleich. Die Migrationsbe- hörde lässt sich zudem von anderen Überlegungen leiten als die Strafbe- hörde. Während die Entscheidung des Strafgerichts in erster Linie von der strafrechtlichen Zurechnung sowie von Überlegungen im Zusammenhang mit den Aussichten auf eine soziale Wiedereingliederung des Verurteilten bestimmt wird, ist bei den Migrationsbehörden die Sorge um die öffentliche Sicherheit und Ordnung ausschlaggebend. Die ausländerrechtliche Beur- teilung kann daher strenger oder anders ausfallen als diejenige der Straf- behörde (vgl. BGE 140 I 145 E. 4.3; 130 II 493 E. 4.2; Urteile des BVGer F-2128/2022 vom 28. November 2022 E. 6.5.2; F-1367/2019 vom 20. Juli 2021 E. 9.3.2).</w:t>
      </w:r>
    </w:p>
    <w:p>
      <w:r>
        <w:rPr>
          <w:b/>
        </w:rPr>
        <w:t>E. 7.3</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nicht eröffnet oder eingestellt wurde oder, wie in casu,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ernsthaften Zweifel bestehen, dass sie der betreffenden Person zur Last zu legen sind (vgl. Urteil des BGer 2C_39/2016 vom 31. August 2016 E. 2.5; Urteil F-1367/2019 E. 9.3.4).</w:t>
      </w:r>
    </w:p>
    <w:p>
      <w:r>
        <w:rPr>
          <w:b/>
        </w:rPr>
        <w:t>E. 7.4</w:t>
      </w:r>
    </w:p>
    <w:p>
      <w:r>
        <w:t>Vorliegend bestehen klare Verdachtsmomente dafür, dass die fehlba- ren Handlungen stattgefunden haben. Laut der Begründung des vom (...) datierenden Strafurteils ist zweifelsfrei erstellt, dass (Darlegung der fehlba- ren Handlungen). Aufgrund der detaillierten und schlüssigen Feststellun- gen in den im Strafurteil aufgeführten Protokollen und Einvernahmen (S. 22-42) sowie des Aussageverhaltens der beschuldigten Person beste- hen für das Bundesverwaltungsgericht keine ernsthaften Zweifel, dass</w:t>
      </w:r>
    </w:p>
    <w:p>
      <w:r>
        <w:t>F-4278/2023 Seite 14 dem Beschwerdeführer fehlbare Handlungen gegen das Vermögen sowie den Rechts- beziehungsweise Geschäftsverkehr anzulasten sind.</w:t>
      </w:r>
    </w:p>
    <w:p>
      <w:r>
        <w:rPr>
          <w:b/>
        </w:rPr>
        <w:t>E. 7.5</w:t>
      </w:r>
    </w:p>
    <w:p>
      <w:r>
        <w:t>Nach dem Gesagten lässt die aktenkundige Beweislage den rechts- genüglich klaren Schluss zu, dass im dargelegten Rahmen fehlbare Hand- lungen stattgefunden haben, womit der Beschwerdeführer hinreichenden Anlass zur Verhängung eines Einreiseverbots im Sinne von Art. 67 Abs. 1 Bst. c AIG gegeben hat. Die Voraussetzungen dieses Tatbestandes sind somit erfüllt.</w:t>
      </w:r>
    </w:p>
    <w:p>
      <w:r>
        <w:rPr>
          <w:b/>
        </w:rPr>
        <w:t>E. 8</w:t>
      </w:r>
    </w:p>
    <w:p>
      <w:r>
        <w:t>Zu prüfen bleibt die Verhältnismässigkeit der Massnahme (vgl. E. 4.3).</w:t>
      </w:r>
    </w:p>
    <w:p>
      <w:r>
        <w:rPr>
          <w:b/>
        </w:rPr>
        <w:t>E. 8.1</w:t>
      </w:r>
    </w:p>
    <w:p>
      <w:r>
        <w:t>Den Entscheid darüber, ob ein Einreiseverbot anzuordnen und wie es zeitlich auszugestalten ist, legt Art. 67 Abs. 1 Bst. c AIG in das pflichtge- mässe Ermessen der Behörde. Eine Prognose, für welchen Zeitraum die Sicherungsmassnahme notwendig sein wird, ist naturgemäss nicht mög- lich. Die Dauer des Einreiseverbots ergibt sich aus der wertenden Abwä- gung zwischen dem öffentlichen Interesse an der Fernhaltung der betroffe- nen Person und deren privaten Interessen an der zeitlichen Beschränkung der Massnahme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w:t>
      </w:r>
    </w:p>
    <w:p>
      <w:r>
        <w:rPr>
          <w:b/>
        </w:rPr>
        <w:t>E. 8.2</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rechtliche Ordnung des Gastlandes zu halten. Es be- steht demnach ein general- und spezialpräventiv motiviertes Interesse an seiner Fernhaltung. Darüber hinaus kommt bei Drittstaatsangehörigen der Rückfallgefahr im Vergleich mit Staatsangehörigen einer Vertragspartei</w:t>
      </w:r>
    </w:p>
    <w:p>
      <w:r>
        <w:t>F-4278/2023 Seite 15 des Freizügigkeitsabkommens (FZA, SR 0.142.112.681) eine geringere Tragweite zu (BGE 139 II 121 E. 6.1; 136 II 5 E. 4.2; BVGE 2017 VII/2 E. 4.4). Es besteht somit ein gewichtiges öffentliches Interesse an der Fernhaltung des Beschwerdeführers. Private Interessen macht er derweil keine geltend und solche ergeben sich auch nicht aus den Akten.</w:t>
      </w:r>
    </w:p>
    <w:p>
      <w:r>
        <w:rPr>
          <w:b/>
        </w:rPr>
        <w:t>E. 8.3</w:t>
      </w:r>
    </w:p>
    <w:p>
      <w:r>
        <w:t>Eine wertende Gewichtung der sich gegenüberstehenden Interessen führt das Bundesverwaltungsgericht zum Ergebnis, dass das auf fünf Jahre befristete Einreiseverbot dem Grundsatz nach und in Bezug auf seine Dauer eine verhältnismässige und angemessene Massnahme zum Schutz der öffentlichen Sicherheit und Ordnung darstellt.</w:t>
      </w:r>
    </w:p>
    <w:p>
      <w:r>
        <w:rPr>
          <w:b/>
        </w:rPr>
        <w:t>E. 9</w:t>
      </w:r>
    </w:p>
    <w:p>
      <w:r>
        <w:t>Verhältnismässig, zur Wahrung der Interessen der Gesamtheit aller Schen- gen-Staaten notwendig und nicht zu beanstanden ist schliesslich die Aus- schreibung des Einreiseverbots im Schengener Informationssystem (vgl. Art. 21 und 24 der Verordnung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geht es doch in Konstel- lationen wie der vorliegenden um zentrale Bestimmungen der migrations- rechtlichen Ordnung (vgl. Urteile des BVGer F-6944/2023 vom 25. Novem- ber 2024 E. 8.2; F-3986/2021 vom 15. März 2023 E. 6; F-2524/2021 vom</w:t>
      </w:r>
    </w:p>
    <w:p>
      <w:r>
        <w:rPr>
          <w:b/>
        </w:rPr>
        <w:t>E. 10</w:t>
      </w:r>
    </w:p>
    <w:p>
      <w:r>
        <w:t>Die angefochtene Verfügung erweist sich aufgrund der vorstehenden Erwägungen als rechtmässig im Sinne von Art. 49 VwVG. Die Beschwerde ist demzufolge abzuweisen.</w:t>
      </w:r>
    </w:p>
    <w:p>
      <w:r>
        <w:rPr>
          <w:b/>
        </w:rPr>
        <w:t>E. 11</w:t>
      </w:r>
    </w:p>
    <w:p>
      <w:r>
        <w:t>Mit dem Entscheid in der Hauptsache ist der Antrag auf Wiederherstellung der aufschiebenden Wirkung der Beschwerde gegenstandslos geworden.</w:t>
      </w:r>
    </w:p>
    <w:p>
      <w:r>
        <w:rPr>
          <w:b/>
        </w:rPr>
        <w:t>E. 12</w:t>
      </w:r>
    </w:p>
    <w:p>
      <w:r>
        <w:t>Bei diesem Ausgang des Verfahrens sind die Kosten dem Beschwerde- führer aufzuerlegen (Art 63 Abs. 1 VwVG) und auf insgesamt Fr. 1'200.– festzusetzen (Art. 1-3 des Reglements vom 21. Februar 2008 über die Kos- ten und Entschädigungen vor dem Bundesverwaltungsgericht [VGKE,</w:t>
      </w:r>
    </w:p>
    <w:p>
      <w:r>
        <w:t>F-4278/2023 Seite 16 SR 173.320.2]). Der in der gleichen Höhe geleistete Kostenvorschuss ist zur Bezahlung der Verfahrenskosten zu verwenden. Eine Parteientschädi- gung fällt ausgangsgemäss ausser Betracht (Art. 64 Abs. 1 VwVG). (Dispositiv nächste Seite)</w:t>
      </w:r>
    </w:p>
    <w:p>
      <w:r>
        <w:t>F-4278/2023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