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F-4276/2025 vom 19. Juni 2025</w:t>
      </w:r>
    </w:p>
    <w:p>
      <w:r>
        <w:t>Bundesverwaltungsgericht, 2025-06-19, DE</w:t>
      </w:r>
    </w:p>
    <w:p>
      <w:r>
        <w:rPr>
          <w:b/>
        </w:rPr>
        <w:t xml:space="preserve">Quelle: </w:t>
      </w:r>
      <w:r>
        <w:t>https://mcp.opencaselaw.ch/entscheid/bvger_F-4276_2025</w:t>
      </w:r>
    </w:p>
    <w:p>
      <w:r>
        <w:t>FR: TAF F-4276/2025 du 19 juin 2025</w:t>
      </w:r>
    </w:p>
    <w:p>
      <w:r>
        <w:t>IT: TAF F-4276/2025 del 19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die Beschwerdeführerin am 28. September 2023 in Frankreich ein Asylgesuch gestellt hat (vgl. Eintragung in der Eurodac-Datenbank [SEM-act. 11]). Die französischen Behörden haben dem am 20. Mai 2025 gestellten Wiederaufnahmegesuch der Vorinstanz (SEM-act. 17) fristgerecht am 3. Juni 2025 gestützt auf Art. 18 Abs. 1 Bst. b Dublin-III-VO zugestimmt (SEM-act. 21).</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18 Abs. 1 Bst. b Dublin-III-VO grundsätzlich Frankreich für die Behandlung des Asylgesuchs der Beschwerdeführerin zuständig ist. Weiter hat sie rechtskonform erwogen, dass das französische Asylsystem rechtsprechungsgemäss keine systemischen Mängel aufweist, aufgrund derer die Zuständigkeit gemäss Art. 3 Abs. 2 Dublin-III-VO auf die Schweiz überginge (vgl. statt vieler jüngst Urteile des BVGer F-2447/2025 vom 11. April 2025 E. 4.1 und F-1111/2025 vom 25. Februar 2025 E. 2.1),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freiwilligen Selbsteintritt der Schweiz abgesehen. Bezüglich der geltend gemachten Beziehung der Beschwerdeführerin ist festzuhalten, dass die Vorinstanz zu Recht davon ausgegangen ist, dass zwischen der Beschwerdeführerin und ihrem in der Schweiz wohnhaften Partner keine tatsächlich gelebte, dauerhafte Beziehung von eheähnlicher Intensität und Stabilität vorliegt, wie sie von Art. 8 Ziff. 1 EMRK geschützt wäre: Gemäss den Angaben der Beschwerdeführerin ist diese zwar seit drei Jahren mit ihrem Partner zusammen, sie haben aber nie zusammengelebt und sind nur über WhatsApp und Facebook in Kontakt gestanden. Das Paar hat keine Kinder, ist finanziell nicht miteinander verflochten und weder aus den Akten noch aus den Vorbringen der Beschwerdeführerin ergeben sich Anhaltspunkte, die auf eine besondere Konstanz der Beziehung im Sinne der Rechtsprechung schliessen liessen. Das eingeleitete Ehevorbereitungsverfahren vermag an dieser Einschätzung nichts zu ändern. Gegen die Bejahung einer eheähnlichen Beziehung spricht ferner, dass die Beschwerdeführerin im Dublin-Gespräch vom 16. Mai 2025 (SEM-act. 14) zunächst angab, ihren Verlobten erstmals vor einer Woche in Frankreich getroffen zu haben. Zwar änderte sie diese Aussage im Laufe des Gesprächs dahingehend, dass sie ihn erstmals bei ihrem ersten Aufenthalt in Frankreich (gemeint im Jahr 2023) getroffen habe, jedoch spricht die Unkenntnis über ein derart wichtiges Ereignis weder für die Beschwerdeführerin noch für die Intensität der Beziehung. Die Vorinstanz ist demnach zu Recht in Anwendung von Art. 31a Abs. 1 Bst. b AsylG auf das Asylgesuch der Beschwerdeführerin nicht eingetreten und hat in Anwendung von Art. 44 AsylG ihre Wegweisung nach Frankreich angeordnet. Im Übrigen wird auf die Begründung der angefochtenen Verfügung verwiesen, welcher sich das Gericht anschliesst (SEM-act. 25).</w:t>
      </w:r>
    </w:p>
    <w:p>
      <w:r>
        <w:rPr>
          <w:b/>
        </w:rPr>
        <w:t>E. 2.3</w:t>
      </w:r>
    </w:p>
    <w:p>
      <w:r>
        <w:t>Was die Beschwerdeführerin auf Rechtsmittelebene vorbringt, vermag nichts an der Richtigkeit der angefochtenen Verfügung zu ändern. Namentlich bringt sie in Bezug auf die Beziehung zu ihrem Verlobten nichts Neues vor.</w:t>
      </w:r>
    </w:p>
    <w:p>
      <w:r>
        <w:rPr>
          <w:b/>
        </w:rPr>
        <w:t>E. 3</w:t>
      </w:r>
    </w:p>
    <w:p>
      <w:r>
        <w:t>Nach dem Gesagten ist die angefochtene Verfügung nicht zu beanstanden und die Beschwerde ist abzuweisen. Mit dem vorliegenden Urteil wird das Gesuch um Erteilung der aufschiebenden Wirkung gegenstandslos.</w:t>
      </w:r>
    </w:p>
    <w:p>
      <w:r>
        <w:rPr>
          <w:b/>
        </w:rPr>
        <w:t>E. 4</w:t>
      </w:r>
    </w:p>
    <w:p>
      <w:r>
        <w:t>Das Gesuch um Gewährung der unentgeltlichen Rechtspflege ist abzuweisen, da die Begehren - wie sich aus den vorstehenden Erwägungen ergibt - als aussichtslos zu bezeichnen sind.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