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F-422/2021 vom 11. Mai 2021</w:t>
      </w:r>
    </w:p>
    <w:p>
      <w:r>
        <w:t>Bundesverwaltungsgericht, 2021-05-11, FR</w:t>
      </w:r>
    </w:p>
    <w:p>
      <w:r>
        <w:rPr>
          <w:b/>
        </w:rPr>
        <w:t xml:space="preserve">Quelle: </w:t>
      </w:r>
      <w:r>
        <w:t>https://mcp.opencaselaw.ch/entscheid/bvger_F-422_2021</w:t>
      </w:r>
    </w:p>
    <w:p>
      <w:r>
        <w:t>FR: TAF F-422/2021 du 11 mai 2021</w:t>
      </w:r>
    </w:p>
    <w:p>
      <w:r>
        <w:t>IT: TAF F-422/2021 del 11 maggio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Le recourant a qualité pour recourir et son recours - qui a été interjeté dans les formes et le temps requis -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w:t>
      </w:r>
    </w:p>
    <w:p>
      <w:r>
        <w:rPr>
          <w:b/>
        </w:rPr>
        <w:t>E. 2.1</w:t>
      </w:r>
    </w:p>
    <w:p>
      <w:r>
        <w:t>Dans un premier temps, l'intéressé reproche au SEM d'avoir pris la décision le concernant en violation de son droit d'être entendu et, en conséquence, sur la base d'un état de fait inexact et incomplet. En outre, le SEM aurait violé l'obligation de motiver sa décision. Au vu de la nature formelle de ces griefs, il convient de les analyser en premier lieu.</w:t>
      </w:r>
    </w:p>
    <w:p>
      <w:r>
        <w:rPr>
          <w:b/>
        </w:rPr>
        <w:t>E. 2.2.1</w:t>
      </w:r>
    </w:p>
    <w:p>
      <w:r>
        <w:t>Le Tribunal rappelle qu'ancré à l'art. 29 al. 2 Cst., le droit d'être entendu a un double rôle : d'une part, il assure la participation de l'administré à la prise de décision, d'autre part, il sert à l'établissement des faits (ATF 142 I 86 consid. 2.2). En droit administratif, le droit d'être entendu est concrétisé par les articles 29 ss PA. Il comprend pour le justiciable notamment le droit de s'exprimer sur les faits et de fournir des preuves de nature à influer sur le sort de sa cause.</w:t>
      </w:r>
    </w:p>
    <w:p>
      <w:r>
        <w:rPr>
          <w:b/>
        </w:rPr>
        <w:t>E. 2.2.2</w:t>
      </w:r>
    </w:p>
    <w:p>
      <w:r>
        <w:t>La procédure administrative est régie essentiellement par la maxime inquisitoire selon laquelle l'autorité dirige la procédure et constate les faits d'office, administrant les preuves qui lui paraissent nécessaires (cf. art. 12 PA, applicable en l'espèce par renvoi de l'art. 6 LAsi). Cela implique qu'il lui appartient d'établir elle-même les faits pertinents, dans la mesure où l'exige la correcte application de la loi (cf. Pierre Moor / Etienne Poltier, Droit administratif, vol. II, 3e éd., Berne 2011, p. 294).</w:t>
      </w:r>
    </w:p>
    <w:p>
      <w:r>
        <w:rPr>
          <w:b/>
        </w:rPr>
        <w:t>E. 2.2.3</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Elle n'a pas l'obligation d'exposer et de discuter tous les faits, moyens de preuve et griefs invoqués par les parties, mais peut au contraire se limiter à l'examen des questions décisives pour l'issue du litige (ATF 138 I 232 consid. 5.1 et jurisp. cit.).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I 557 consid. 3.2.1 ; 138 I 232 consid. 5.1 ; 134 I 83 consid. 4.1 ; 133 III 235 consid. 5.2, et les références citées ; ATAF 2013/23 consid. 6.1.1).</w:t>
      </w:r>
    </w:p>
    <w:p>
      <w:r>
        <w:rPr>
          <w:b/>
        </w:rPr>
        <w:t>E. 2.2.4</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(ATAF 2007/30 consid. 8).</w:t>
      </w:r>
    </w:p>
    <w:p>
      <w:r>
        <w:rPr>
          <w:b/>
        </w:rPr>
        <w:t>E. 2.3</w:t>
      </w:r>
    </w:p>
    <w:p>
      <w:r>
        <w:t>En l'espèce, le recourant reproche au SEM de ne pas avoir pris en compte sa prise de position du 20 janvier 2021 relative aux documents médicaux le concernant. En outre, sa représentation juridique n'a pas eu accès à la totalité de ses pièces médicales établies par l'infirmerie, ce qui l'aurait privé de la possibilité de défendre correctement ses droits.</w:t>
      </w:r>
    </w:p>
    <w:p>
      <w:r>
        <w:rPr>
          <w:b/>
        </w:rPr>
        <w:t>E. 2.3.1</w:t>
      </w:r>
    </w:p>
    <w:p>
      <w:r>
        <w:t>Le Tribunal doit constater que le déroulement de la procédure d'asile de l'intéressé par-devant le SEM est effectivement entaché de plusieurs irrégularités. Ainsi, il appert qu'une partie de la documentation médicale de l'intéressé n'a pas été transmise à temps par l'infirmerie à sa représentation juridique. De même, en raison des défaillances dans la communication à l'interne, la décision attaquée a été rendue sans tenir compte de la réponse de l'intéressé suite au droit d'être entendu qui lui avait été octroyé par rapport à la documentation précitée.</w:t>
      </w:r>
    </w:p>
    <w:p>
      <w:r>
        <w:rPr>
          <w:b/>
        </w:rPr>
        <w:t>E. 2.3.2</w:t>
      </w:r>
    </w:p>
    <w:p>
      <w:r>
        <w:t>Dans le cas présent toutefois, la violation du droit d'être entendu de l'intéressé doit être considérée comme guérie au stade de la procédure de recours. En effet, lors de l'échange d'écritures, le SEM s'est prononcé sur la réponse de l'intéressé du 20 janvier 2021. De même, le recourant a pu répondre aux arguments invoqués par le SEM dans le cadre de sa réplique du 15 mars 2021. Enfin, dans la mesure où malgré les défaillances précitées, la décision prise par le SEM s'est basée sur la documentation médicale complète concernant le recourant, le vice peut être considéré comme réparé. Partant, il n'y a pas lieu d'annuler la décision attaquée au motif de la violation du droit d'être entendu de l'intéressé.</w:t>
      </w:r>
    </w:p>
    <w:p>
      <w:r>
        <w:rPr>
          <w:b/>
        </w:rPr>
        <w:t>E. 3.1</w:t>
      </w:r>
    </w:p>
    <w:p>
      <w:r>
        <w:t>Sur le plan matériel, il y a lieu de déterminer si en l'espèce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4.1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4.3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4.4</w:t>
      </w:r>
    </w:p>
    <w:p>
      <w:r>
        <w:t>Selon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5.1</w:t>
      </w:r>
    </w:p>
    <w:p>
      <w:r>
        <w:t>En l'occurrence, lors de son entretien individuel Dublin, le recourant a déclaré avoir séjourné irrégulièrement en Italie entre le 1er novembre 2016 et le 20 mai 2020, date de son arrivée en Suisse. En date du 14 août 2020, le SEM a dès lors soumis aux autorités italiennes, dans les délais fixés à l'art. 21 par. 1 du règlement Dublin III, une requête aux fins de prise en charge, fondée sur l'art. 13 par. 2 du règlement Dublin III. Le 14 octobre 2020, les autorités italiennes ont expressément accepté de prendre l'intéressé en charge sur la base de la disposition précitée. Partant, l'Italie a reconnu sa compétence pour traiter la demande d'asile de l'intéressé. Ce point n'est pas contesté.</w:t>
      </w:r>
    </w:p>
    <w:p>
      <w:r>
        <w:rPr>
          <w:b/>
        </w:rPr>
        <w:t>E. 5.2</w:t>
      </w:r>
    </w:p>
    <w:p>
      <w:r>
        <w:t>Au vu de l'art. 3 par. 2 du règlement Dublin III, il y a lieu d'examiner s'il y a des raisons de considérer qu'il existe, en Italie, des défaillances systémiques dans la procédure d'asile et les conditions d'accueil des demandeurs, qui entraînent un risque de traitement inhumain ou dégradant au sens de l'art. 4 de la CharteUE.</w:t>
      </w:r>
    </w:p>
    <w:p>
      <w:r>
        <w:rPr>
          <w:b/>
        </w:rPr>
        <w:t>E. 5.2.1</w:t>
      </w:r>
    </w:p>
    <w:p>
      <w:r>
        <w:t>Le Tribunal rappelle que l'Italie est liée par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5.2.2</w:t>
      </w:r>
    </w:p>
    <w:p>
      <w:r>
        <w:t>Par ailleurs, à l'issue d'un examen approfondi, le Tribunal a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F-972/2021 du 15 mars 2021 consid. 4.2 ; F-316/2021 du 29 janvier 2021 ; arrêt de référence E-962/2019 du 17 décembre 2019 consid. 6.3 à 6.5).</w:t>
      </w:r>
    </w:p>
    <w:p>
      <w:r>
        <w:rPr>
          <w:b/>
        </w:rPr>
        <w:t>E. 5.2.3</w:t>
      </w:r>
    </w:p>
    <w:p>
      <w:r>
        <w:t>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E-962/2019 précité consid. 6.4).</w:t>
      </w:r>
    </w:p>
    <w:p>
      <w:r>
        <w:rPr>
          <w:b/>
        </w:rPr>
        <w:t>E. 5.2.4</w:t>
      </w:r>
    </w:p>
    <w:p>
      <w:r>
        <w:t>Dans ces conditions, il n'y a pas lieu d'appliquer l'art. 3 par. 2 du règlement Dublin III.</w:t>
      </w:r>
    </w:p>
    <w:p>
      <w:r>
        <w:rPr>
          <w:b/>
        </w:rPr>
        <w:t>E. 6</w:t>
      </w:r>
    </w:p>
    <w:p>
      <w:r>
        <w:t>Cela dit, le recourant s'oppose à son transfert en Italie en raison de ses problèmes de santé et allègue une violation des articles 2 et 3 CEDH ainsi que de l'art. 3 Conv. torture.</w:t>
      </w:r>
    </w:p>
    <w:p>
      <w:r>
        <w:rPr>
          <w:b/>
        </w:rPr>
        <w:t>E. 6.1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6.2</w:t>
      </w:r>
    </w:p>
    <w:p>
      <w:r>
        <w:t>En vertu de la jurisprudence instaurée par l'arrêt de la CourEDH Tarakhel c. Suisse [Grande Chambre] du 4 novembre 2014, req. n° 29217/12,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w:t>
      </w:r>
    </w:p>
    <w:p>
      <w:r>
        <w:rPr>
          <w:b/>
        </w:rPr>
        <w:t>E. 6.3</w:t>
      </w:r>
    </w:p>
    <w:p>
      <w:r>
        <w:t>Dans l'arrêt Tarakhel précité, il a été retenu que, en présence d'une famille avec des enfants, il incombait aux autorités suisses de requérir auprès des autorités italiennes, préalablement au transfert des personnes impliquées, une garantie individuelle concernant, d'une part, une prise en charge adaptée à l'âge des enfants et, d'autre part, la préservation de l'unité familiale. Le Tribunal a précisé que l'existence d'une telle garantie était une condition matérielle de la conformité du transfert aux engagements de la Suisse relevant du droit international et que celle-ci devait être donnée au moment où le SEM rendait sa décision (cf. ATAF 2015/4 consid. 4 ; arrêt du TAF E-6930/2016 du 29 novembre 2017 consid. 4). En outre, dans un premier temps, le TAF a retenu que les principes développés sur la base de l'arrêt Tarakhel ne s'appliquaient pas à d'autres catégories de personnes particulièrement vulnérables que des familles avec enfants (ATAF 2017 VI/10 consid. 5).</w:t>
      </w:r>
    </w:p>
    <w:p>
      <w:r>
        <w:rPr>
          <w:b/>
        </w:rPr>
        <w:t>E. 6.4</w:t>
      </w:r>
    </w:p>
    <w:p>
      <w:r>
        <w:t>Prenant en compte l'évolution des conditions migratoires en Italie en 2019 suite à l'entrée en vigueur du décret législatif n° 113/2018 sur la sécurité et l'immigration (ci-après : décret « Salvini »), le Tribunal a toutefois élargi la jurisprudence Tarakhel à d'autres catégories de personnes. Ainsi, dans l'arrêt de référence E-962/2019 du 17 décembre 2019 précité, il a constaté que les requérants d'asile en Italie conservaient certes leur droit d'accès aux soins, et pas uniquement aux soins d'urgence (consid. 6.2.7). Toutefois, dans les faits, le droit d'accès effectif aux soins allant au-delà des soins d'urgence ne débutait qu'après l'enregistrement formel de la demande d'asile ce qui, selon les régions, pouvait prendre jusqu'à plusieurs semaines, voire plusieurs mois (ibidem consid. 6.2.3.4). Le même problème avait été observé en ce qui concernait l'accès à un hébergement durant le traitement de la demande d'asile (ibidem consid. 6.2.5). Ainsi, il ne pouvait être exclu que les requérants d'asile transférés en Italie en vertu du règlement Dublin III ne doivent attendre plusieurs jours, voire plusieurs semaines, avant d'avoir accès au système d'accueil et de soins, et ce malgré la transmission par le SEM des informations concernant leur état de santé (ibidem consid. 7.4.2). La situation des personnes vulnérables faisait également l'objet de préoccupations en raison de l'absence de prestations de service spécifiques destinées à ces personnes dans les centres d'accueil, leur protection étant alors laissée à des contributions purement volontaires de la part des gestionnaires de ces centres (ibidem consid. 6.2.5; sur les différentes questions traitées dans le présent considérant, cf. également : Asylum Information Database [AIDA], Country Report : Italy, 2019 Update, notamment pp. 63, 92, 94 à 96, 107 à 109, 112 à 115, disponible sur le site : https://www.asylumineurope.org/; site consulté en juillet 2020).</w:t>
      </w:r>
    </w:p>
    <w:p>
      <w:r>
        <w:rPr>
          <w:b/>
        </w:rPr>
        <w:t>E. 6.5</w:t>
      </w:r>
    </w:p>
    <w:p>
      <w:r>
        <w:t>Sur la base de ces constats, le Tribunal a retenu que les autorités suisses devaient, avant de procéder au transfert de requérants d'asile souffrant de problèmes médicaux somatiques ou psychiques graves, requérir des garanties écrites individuelles et préalables des autorités italiennes, en particulier en ce qui concerne l'accès immédiat (dès l'arrivée des personnes concernées en Italie) à une prise en charge médicale et à un hébergement adapté. En l'absence de telles garanties, le transfert des personnes susmentionnées devait être considéré comme illicite (ibidem consid. 7.4.3).</w:t>
      </w:r>
    </w:p>
    <w:p>
      <w:r>
        <w:rPr>
          <w:b/>
        </w:rPr>
        <w:t>E. 6.6</w:t>
      </w:r>
    </w:p>
    <w:p>
      <w:r>
        <w:t>En l'espèce, le Tribunal constate que le recourant souffre de troubles psychiques graves qui s'accompagnent de crises nécessitant une prise en charge psychiatrique d'urgence, comme en témoignent de nombreux journaux de soins produits. A deux reprises, l'intéressé a commis des tentatives de suicide, dont une en milieu hospitalier, après avoir été laissé sans surveillance. En outre, il a commis de nombreux actes d'automutilation au cou, au torse, au ventre et au bras et a avalé une lame de rasoir. L'abondante documentation médicale fournie pose le diagnostic d'un PTSD, de troubles anxio-dépressifs, d'un syndrome de dépendance multiple, notamment aux médicaments et à la cocaïne, de troubles dépressifs et du comportement. L'état de l'intéressé n'est pas stable et nécessite un traitement psychiatrique et psychothérapeutique intégré ainsi qu'une médication laquelle ne peut lui être administrée que sous surveillance, en raison de sa dépendance entraînant de hauts risques de surdosage (cf. notamment formulaire F2 du 7 septembre 2020 ainsi que le certificat médical du 10 mars 2021). Enfin, le recourant est réticent au traitement et a refusé, à plusieurs reprises, d'être hospitalisé, ce qui a conduit, le 20 octobre 2020, au prononcé d'une décision de placement à des fins d'assistance en raison d'un haut risque de suicide.</w:t>
      </w:r>
    </w:p>
    <w:p>
      <w:r>
        <w:rPr>
          <w:b/>
        </w:rPr>
        <w:t>E. 6.7</w:t>
      </w:r>
    </w:p>
    <w:p>
      <w:r>
        <w:t>Eu égard à ce tableau clinique, le Tribunal constate, contrairement au SEM, que le recourant appartient à la catégorie des personnes vulnérables au sens de la jurisprudence précitée (point 6.3). En effet, son état psychique est particulièrement instable de sorte qu'en cas d'interruption, même brève, de son traitement, son équilibre mental risquerait de se péjorer sérieusement, provoquant le passage à un acte auto-agressif grave. Dans ces conditions, on ne saurait transférer le recourant en Italie sans s'assurer que dès son arrivée dans ce pays, il y sera immédiatement pris en charge médicalement. En particulier, le recourant, qui n'a pas encore déposé de demande d'asile en Italie, ne doit en aucun cas être exposé aux risques, ci-dessus exposés (point 6.3), de devoir attendre plusieurs jours, voire plusieurs semaines, avant d'avoir accès aux soins. Au demeurant, le seul fait récent que le décret n° 130, converti en loi en décembre 2020, a modifié le « décret Salvini » n'est pas à lui seul suffisant pour pouvoir retenir qu'après son transfert en Italie, le recourant sera encadré médicalement de manière appropriée.</w:t>
      </w:r>
    </w:p>
    <w:p>
      <w:r>
        <w:rPr>
          <w:b/>
        </w:rPr>
        <w:t>E. 7.1</w:t>
      </w:r>
    </w:p>
    <w:p>
      <w:r>
        <w:t>En l'espèce, dans sa demande de prise en charge, adressée à l'Italie, le 14 août 2020, le SEM n'a aucunement mentionné le fait que le recourant souffrait de graves problèmes de santé alors qu'en juin 2020 déjà, il a dû être pris en charge d'urgence au CUP. Le SEM n'a pas non plus sollicité de garantie individuelle de la part de l'Italie postérieurement à cette demande, alors que les investigations médicales alors diligentées ne faisaient que confirmer la gravité de l'état de l'intéressé.</w:t>
      </w:r>
    </w:p>
    <w:p>
      <w:r>
        <w:rPr>
          <w:b/>
        </w:rPr>
        <w:t>E. 7.2</w:t>
      </w:r>
    </w:p>
    <w:p>
      <w:r>
        <w:t>Au vu de ce qui précède, le Tribunal n'est en l'état pas en mesure de se prononcer sur le bien-fondé du transfert du recourant en Italie étant précisé que l'existence de garanties individuelles d'une prise en charge adaptée d'une personne vulnérable est une condition de la conformité du transfert aux engagements de la Suisse relevant du droit international (cf. arrêt de référence E-962/2019 précité consid. 7.4 et 8.3).</w:t>
      </w:r>
    </w:p>
    <w:p>
      <w:r>
        <w:rPr>
          <w:b/>
        </w:rPr>
        <w:t>E. 7.3</w:t>
      </w:r>
    </w:p>
    <w:p>
      <w:r>
        <w:t>Partant, le SEM est invité à mener un complément d'instruction et de solliciter de la part des autorités italiennes des garanties individuelles et préalables d'une prise en charge médicale adéquate de l'intéressé au sens de la jurisprudence E-962/2019 précitée.</w:t>
      </w:r>
    </w:p>
    <w:p>
      <w:r>
        <w:rPr>
          <w:b/>
        </w:rPr>
        <w:t>E. 8</w:t>
      </w:r>
    </w:p>
    <w:p>
      <w:r>
        <w:t>Eu égard à ce qui précède, il y a lieu d'admettre le présent recours, d'annuler la décision du SEM du 22 janvier 2021 pour établissement incomplet de l'état de fait pertinent (art. 106 al. 1 let. b LAsi) et de lui renvoyer la cause pour complément d'instruction et nouvelle décision (art. 61 al. 1 PA).</w:t>
      </w:r>
    </w:p>
    <w:p>
      <w:r>
        <w:rPr>
          <w:b/>
        </w:rPr>
        <w:t>E. 9</w:t>
      </w:r>
    </w:p>
    <w:p>
      <w:r>
        <w:t>Au vu de l'issue de la cause et dans la mesure où, le 1er février 2021, des mesures superprovisionnelles ont été accordées pour suspendre le transfert de l'intéressé, il n'y a plus lieu de se prononcer sur la demande d'octroi de l'effet suspensif au recours laquelle est devenue sans objet.</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de sorte que les demandes de dispense du paiement d'une avance de frais et d'octroi de l'assistance judiciaire partielle sont devenues sans objet (art. 65 al. 1 PA).</w:t>
      </w:r>
    </w:p>
    <w:p>
      <w:r>
        <w:rPr>
          <w:b/>
        </w:rPr>
        <w:t>E. 10.2</w:t>
      </w:r>
    </w:p>
    <w:p>
      <w:r>
        <w:t>Obtenant gain de cause, l'intéressé aurait droit à des dépens. Il n'y a toutefois pas lieu de les allouer au recourant, celui-ci étant représenté par le représentant juridique qui lui a été attribué par le prestataire mandaté par le SEM, conformément à l'art. 102f al. 1 LAsi en lien avec l'art. 102h al. 3 LAsi (art. 64 al. 1 PA a contrario et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