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F-4229/2017 vom 7. Dezember 2018</w:t>
      </w:r>
    </w:p>
    <w:p>
      <w:r>
        <w:t>Bundesverwaltungsgericht, 2018-12-07, DE</w:t>
      </w:r>
    </w:p>
    <w:p>
      <w:r>
        <w:rPr>
          <w:b/>
        </w:rPr>
        <w:t xml:space="preserve">Quelle: </w:t>
      </w:r>
      <w:r>
        <w:t>https://mcp.opencaselaw.ch/entscheid/bvger_F-4229_2017</w:t>
      </w:r>
    </w:p>
    <w:p>
      <w:r>
        <w:t>FR: TAF F-4229/2017 du 7 décembre 2018</w:t>
      </w:r>
    </w:p>
    <w:p>
      <w:r>
        <w:t>IT: TAF F-4229/2017 del 7 dicembre 2018</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als Verfügungsadressat zur Beschwerde legitimiert (Art. 48 Abs. 1 VwVG). Die übrigen Sachurteilsvoraussetzungen sind ebenfalls erfüllt (vgl. Art. 50 und 52 VwVG).</w:t>
      </w:r>
    </w:p>
    <w:p>
      <w:r>
        <w:rPr>
          <w:b/>
        </w:rPr>
        <w:t>E. 1.4</w:t>
      </w:r>
    </w:p>
    <w:p>
      <w:r>
        <w:t>Das Bundesverwaltungsgericht entscheidet in der vorliegenden Angelegenheit endgültig (vgl.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Das SEM verfügt Einreiseverbote gegenüber weggewiesenen Auslän-derinnen und Ausländern, wenn die Wegweisung nach Art. 64d Abs. 2 Bst. a-c AuG sofort vollstreckt wird (Art. 67 Abs. 1 Bst. a AuG) oder die betroffene Person der Ausreiseverpflichtung nicht innert Frist nachgekom-men ist (Art. 67 Abs. 1 Bst. b AuG). Es kann sodann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5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ausnahmsweise von der Verhängung eines Einreiseverbots absehen oder ein Einreiseverbot endgültig oder vorübergehend aufheben (Art. 67 Abs. 5 AuG).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Urteil des BVGer F-5357/2015 vom 22. September 2016 E. 3.2 m.H.).</w:t>
      </w:r>
    </w:p>
    <w:p>
      <w:r>
        <w:rPr>
          <w:b/>
        </w:rPr>
        <w:t>E. 3.3</w:t>
      </w:r>
    </w:p>
    <w:p>
      <w:r>
        <w:t>Die Vorinstanz begründete das Einreiseverbot in ihrer Verfügung vom 27. April 2017 mit dem Umstand, dass der Beschwerdeführer von der zuständigen Behörde gemäss Art. 64d AuG habe weggewiesen werden müssen, wobei die Wegweisung sofort vollstreckt worden sei. Es bestehe ein rechtskräftiges Einreiseverbot, trotzdem habe er in die Schweiz einreisen wollen. Der Beschwerdeführer habe deswegen bei der zuständigen Staatsanwaltschaft verzeigt werden müssen.</w:t>
      </w:r>
    </w:p>
    <w:p>
      <w:r>
        <w:rPr>
          <w:b/>
        </w:rPr>
        <w:t>E. 3.4</w:t>
      </w:r>
    </w:p>
    <w:p>
      <w:r>
        <w:t>Diesen Ausführungen gilt es nichts entgegenzusetzen. Gemäss den Akten reiste der Beschwerdeführer - trotz bestehenden Einreiseverbots - sowohl am 14. Juni 2016 wie auch am 1. März 2017 in die Schweiz ein, was von ihm auch nicht bestritten wird, wie der Rechtsmitteleingabe vom 14. Juli 2017 zu entnehmen ist (vgl. Ziff. 3 ebenda). Die eidgenössische Zollverwaltung EZV verfügte daraufhin je eine sofort vollstreckbare Wegweisung, gestützt auf Art. 64d Abs. 2 Bst. b AuG (SEM act. 11/103-106 und SEM act. 4/47-50). Die entsprechenden Verfügungen erwuchsen unangefochten in Rechtskraft. Wird die Wegweisung nach Art. 64d Abs. 2 AuG - wie in casu - sofort vollzogen, so ist gemäss Art. 67 Abs. 1 Bst. a AuG grundsätzlich ein Einreiseverbot zu erlassen. Der Vorinstanz kommt dabei lediglich ein stark eingeschränktes Entschliessungsermessen zu (vgl. BBl 2009 8896 ad Art. 67 Abs. 1). Vor diesem Hintergrund hat das SEM zu Recht gegen den Beschwerdeführer ein Einreisverbot gestützt auf Art. 67 Abs. 1 Bst. a AuG verhängt.</w:t>
      </w:r>
    </w:p>
    <w:p>
      <w:r>
        <w:rPr>
          <w:b/>
        </w:rPr>
        <w:t>E. 4</w:t>
      </w:r>
    </w:p>
    <w:p>
      <w:r>
        <w:t>Bezüglich der Dauer der Fernhaltemassnahme ist vorerst darauf hinzuweisen, dass das vom SEM verfügte zweite Einreiseverbot in Anbetracht der in Art. 67 Abs. 3 AuG 1. Satz statuierten, geltenden Maximaldauer grundsätzlich maximal weitere fünf Jahre dauern darf. Bei der Bemessung der Dauer der Fernhaltemassnahme wird dabei auf das Datum der zweiten Verfügung abgestellt (vgl. Urteil des BVGer F-1444/2014 vom 9. Mai 2018 E. 4.4 und E. 6.1; betreffend Fernhaltemassnahmen von längerer Dauer vgl. E. 6.2 - 6.3 ebenda). Ausgehend von diesem Zeitpunkt wird - auch unter Berücksichtigung der Umstände, welche zum ersten Einreiseverbot geführt haben - geprüft, welche Dauer für die "Anschlusssperre" angemessen und verhältnismässig erscheint. Mit dieser Vorgehensweise wird dem Umstand Rechnung getragen, dass ein Einreiseverbot keine Strafe ist, die ein bestimmtes Verhalten sanktioniert. Es handelt sich vielmehr um eine präventivpolizeiliche Administrativmassnahme, die primär künftige Störungen der öffentlichen Sicherheit und Ordnung verhindern soll (vgl. dazu ANDREA BINDER OSER, in: Bundesgesetz über die Ausländerinnen und Ausländer, 2010, ad Art. 67 AuG N 3). Das vorliegende Einreiseverbot wurde bis zum 5. Juli 2020 befristet, weshalb es - gerechnet vom 27. April 2017 an - die gesetzliche fünfjährige Maximaldauer nicht überschreitet. Vor diesem Hintergrund ist grundsätzlich nicht zu beanstanden, dass das SEM eine "Anschlusssperre" verfügte.</w:t>
      </w:r>
    </w:p>
    <w:p>
      <w:r>
        <w:rPr>
          <w:b/>
        </w:rPr>
        <w:t>E. 5.1</w:t>
      </w:r>
    </w:p>
    <w:p>
      <w:r>
        <w:t>Zu prüfen bleibt somit, ob die Massnahme in richtiger Ausübung des Ermessens ergangen und angemessen ist. Zentrale Bedeutung kommt dabei dem Grundsatz der Verhältnismässigkeit zu, der eine wertende Abwägung zwischen den öffentlichen Interessen an der Massnahme einerseits und den von der Massnahme beeinträchtigten privaten Interessen des Verfügungsbelasteten andererseits verlangt. Die Stellung der verletzten oder gefährdeten Rechtsgüter, die Besonderheiten des ordnungswidrigen Verhaltens und die persönlichen Verhältnisse der betroffenen ausländischen Person bilden dabei den Ausgangspunkt der Überlegungen (Art. 96 AuG; ferner statt vieler Häfelin/Müller/Uhlmann, Allgemeines Verwaltungsrecht, 7. Aufl. 2016, Rz. 555 ff.).</w:t>
      </w:r>
    </w:p>
    <w:p>
      <w:r>
        <w:rPr>
          <w:b/>
        </w:rPr>
        <w:t>E. 5.2</w:t>
      </w:r>
    </w:p>
    <w:p>
      <w:r>
        <w:t>Der Beschwerdeführer wurde mehrmals aus der Schweiz weggewiesen, wobei die Wegweisung sofort vollstreckt wurde (vgl. Sachverhalt Bst. F und H). Er bekundet offensichtlich Mühe, sich an die hierzulande geltende Rechtsordnung zu halten, wie auch das mit Entscheid des Strafgerichts Basel-Landschaft vom 4. März 2014 abgeurteilte Verhalten aufzeigt (Sachverhalt Bst. D). Sein Fehlverhalten wiegt objektiv nicht leicht, kommt doch den ausländerrechtlichen Normen im Interesse einer funktionierenden Rechtsordnung grundsätzlich eine zentrale Bedeutung zu. Insbesondere gilt es mit den geltenden Vorschriften über Einreise und Aufenthalt sicherzustellen, dass sich lediglich Personen in der Schweiz aufhalten, die dazu befugt sind. Bereits aus diesem Grund ist das generalpräventiv motivierte Interesse als gewichtig zu betrachten. Des Weiteren liegt eine spezialpräventive Zielsetzung der Massnahme darin, dass sie die Betroffenen ermahnt, bei einer allfälligen künftigen Wiedereinreise in die Schweiz nach Ablauf der Dauer des Einreiseverbots die für sie geltenden Regeln einzuhalten (vgl. hierzu Urteil des BVGer C-6993/2014 vom 30. März 2015 E. 5.2 m.H.).</w:t>
      </w:r>
    </w:p>
    <w:p>
      <w:r>
        <w:rPr>
          <w:b/>
        </w:rPr>
        <w:t>E. 5.3</w:t>
      </w:r>
    </w:p>
    <w:p>
      <w:r>
        <w:t>Der vom Beschwerdeführer ins Feld geführte Rechtsfertigungsversuch, er sei verbotenerweise in die Schweiz gekommen, um seine Beziehung zu seiner Familie zu pflegen, vermag dabei nicht zu überzeugen (Rechtsmitteleingabe Ziff. 3), zumal er anlässlich seiner Aussage vom 14. Juni 2016 im Hinblick auf die Gewährung des rechtlichen Gehörs erklärte, er sei nach Basel gekommen, um Fussball zu schauen (SEM act. 11/102). Einem Rapport der eidgenössischen Zollverwaltung EZV vom 1. März 2017 ist wiederum zu entnehmen, dass er damals in die Schweiz habe reisen wollen, um bei IKEA Pratteln Möbel einzukaufen (SEM act. 7/59).</w:t>
      </w:r>
    </w:p>
    <w:p>
      <w:r>
        <w:rPr>
          <w:b/>
        </w:rPr>
        <w:t>E. 5.4</w:t>
      </w:r>
    </w:p>
    <w:p>
      <w:r>
        <w:t>Weiter macht der Beschwerdeführer geltend, die zwei bzw. drei Tage, in denen er sich in der Schweiz aufgehalten habe, könnten nicht dazu führen, dass ein bereits verfügtes Einreiseverbot um drei Jahre verlängert werde. Dies sei unverhältnismässig, weshalb die diesbezügliche vorinstanzliche Verfügung vom 27. April 2017 im Sinne der Erhaltung einer bestehenden Familie aufzuheben sei. Damit soll es dem Beschwerdeführer möglich sein, zu seiner Familie in die Schweiz zu kommen, die er, mit seinem bereits belasteten Vorleben in seinem Heimatland, dringend nötig habe (Beschwerde Ziff. 4).</w:t>
      </w:r>
    </w:p>
    <w:p>
      <w:r>
        <w:rPr>
          <w:b/>
        </w:rPr>
        <w:t>E. 5.4.1</w:t>
      </w:r>
    </w:p>
    <w:p>
      <w:r>
        <w:t>Sofern sich der Beschwerdeführer auf sein Recht auf Familienleben (Art. 8 EMRK) beruft, ist darauf hinzuweisen, dass sich der dahingehende Schutz nur auf den Kernbereich der Familie - mithin Eltern und ihre minderjährige Kinder - beschränkt. Im Falle des Beschwerdeführers - der hier in der Schweiz über einen Bruder, einen Onkel und diverse Cousins verfügt (BVGer act. 6) - werden die entsprechenden Beziehungen nicht mehr erfasst.</w:t>
      </w:r>
    </w:p>
    <w:p>
      <w:r>
        <w:rPr>
          <w:b/>
        </w:rPr>
        <w:t>E. 5.4.2</w:t>
      </w:r>
    </w:p>
    <w:p>
      <w:r>
        <w:t>Ohnehin verfügt der in Deutschland lebende Beschwerdeführer in der Schweiz über kein Aufenthaltsrecht mehr. Das Aufenthaltsrecht als solches bildet auch nicht Gegenstand des vorliegenden Verfahrens (vgl. dazu BVGE 2013/4 E. 7.4.1). Die Pflege regelmässiger persönlicher Kontakte zu seinen Verwandten scheitert somit bereits daran. Die Wirkung des Einreiseverbots besteht zudem nicht darin, dass dem Beschwerdeführer während dessen Geltungsdauer Besuchsaufenthalte bei seinen Verwandten in der Schweiz gänzlich untersagt wären (vgl. Art. 67 Abs. 5 AuG). Im Übrigen kann er den Kontakt zu seinen hier lebenden Angehörigen auf andere Weise als durch Besuche in der Schweiz pflegen. Auch in Anbetracht dieser Umstände ist das Gewicht der privaten Interessen des Beschwerdeführers an der Möglichkeit, in naher Zukunft in die Schweiz einreisen zu können, als nicht erheblich einzustufen.</w:t>
      </w:r>
    </w:p>
    <w:p>
      <w:r>
        <w:rPr>
          <w:b/>
        </w:rPr>
        <w:t>E. 5.5</w:t>
      </w:r>
    </w:p>
    <w:p>
      <w:r>
        <w:t>Unter Abwägung der vorliegend entgegenstehenden öffentlichen und privaten Interessen stellt das bis 5. Juli 2020 befristete Einreiseverbot eine verhältnismässige und angemessene Massnahme zum Schutz der öffentlichen Sicherheit und Ordnung dar. Dies auch im Vergleich zu Fällen, mit ähnlich gelagerter Konstellation (vgl. bspw. Urteil des BVGer C-5619/2014 vom 2. Dezember 2015) sowie in Anbetracht der Tatsache, dass der Beschwerdeführer bereits mehr als einmal aus der Schweiz weggewiesen werden musste und sein an den Tag gelegtes Verhalten eine gewisse Unbelehrbarkeit aufzeigt.</w:t>
      </w:r>
    </w:p>
    <w:p>
      <w:r>
        <w:rPr>
          <w:b/>
        </w:rPr>
        <w:t>E. 6</w:t>
      </w:r>
    </w:p>
    <w:p>
      <w:r>
        <w:t>Aus diesen Erwägungen folgt, dass die angefochtene Verfügung Bundes-recht nicht verletzt (vgl. Art. 49 VwVG). Die Beschwerde ist daher abzuwei-sen.</w:t>
      </w:r>
    </w:p>
    <w:p>
      <w:r>
        <w:rPr>
          <w:b/>
        </w:rPr>
        <w:t>E. 7</w:t>
      </w:r>
    </w:p>
    <w:p>
      <w:r>
        <w:t>Entsprechend dem Ausgang des Verfahrens sind dem Beschwerdeführer die Verfahrenskosten aufzuerlegen (Art. 63 Abs. 1 VwVG,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