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F-4223/2024 vom 24. Juni 2024</w:t>
      </w:r>
    </w:p>
    <w:p>
      <w:r>
        <w:t>Bundesverwaltungsgericht, 2024-06-24, DE</w:t>
      </w:r>
    </w:p>
    <w:p>
      <w:r>
        <w:rPr>
          <w:b/>
        </w:rPr>
        <w:t xml:space="preserve">Quelle: </w:t>
      </w:r>
      <w:r>
        <w:t>https://mcp.opencaselaw.ch/entscheid/bvger_F-4223_2024_d20240624</w:t>
      </w:r>
    </w:p>
    <w:p>
      <w:r>
        <w:t>FR: TAF F-4223/2024 du 24 juin 2024</w:t>
      </w:r>
    </w:p>
    <w:p>
      <w:r>
        <w:t>IT: TAF F-4223/2024 del 24 giugno 2024</w:t>
      </w:r>
    </w:p>
    <w:p>
      <w:pPr>
        <w:pStyle w:val="Heading2"/>
      </w:pPr>
      <w:r>
        <w:t>Regeste</w:t>
      </w:r>
    </w:p>
    <w:p>
      <w:r>
        <w:t>Zuweisung der Asylsuchenden an die Kantone | Zuweisung der Asylsuchenden an die Kantone; Verfügung des SEM vom 24. Juni 2024</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der asylsuchenden Person an einen Kanton oder über einen Kantonswechsel können gemäss Art. 27 Abs. 3 AsylG nur mit der Begründung angefochten werden, sie verletzten den Grundsatz der Einheit der Familie (vgl. Art. 13 Abs. 1 BV; Art. 8 Ziff. 1 EMRK; siehe ferner BVGE 2009/54 E. 1.3.1; 2008/47 E. 1.2 und 1.3.2 f.). Der minderjährige Beschwerdeführer rügt in vertretbarer Weise eine Ver- letzung dieses Grundsatzes und beantragt die Zuweisung an den Kanton Zürich, den Wohnort seiner zwei Cousins und seiner Cousine mit ihrem Ehemann.</w:t>
      </w:r>
    </w:p>
    <w:p>
      <w:r>
        <w:rPr>
          <w:b/>
        </w:rPr>
        <w:t>E. 1.4</w:t>
      </w:r>
    </w:p>
    <w:p>
      <w:r>
        <w:t>Da der Beschwerdeführer als Verfügungsadressat zur Beschwerdefüh- rung legitimiert ist (Art. 48 Abs. 1 VwVG), ist auf die frist- und formgerecht eingereichte Beschwerde einzutreten (vgl. Art. 108 Abs. 3 AsylG und Art. 52 Abs. 1 VwVG).</w:t>
      </w:r>
    </w:p>
    <w:p>
      <w:r>
        <w:rPr>
          <w:b/>
        </w:rPr>
        <w:t>E. 1.5</w:t>
      </w:r>
    </w:p>
    <w:p>
      <w:r>
        <w:t>Das Bundesverwaltungsgericht verzichtet gestützt auf Art. 111a Abs. 1 AsylG auf die Durchführung eines Schriftenwechsels.</w:t>
      </w:r>
    </w:p>
    <w:p>
      <w:r>
        <w:t>F-4223/2024 Seite 4</w:t>
      </w:r>
    </w:p>
    <w:p>
      <w:r>
        <w:rPr>
          <w:b/>
        </w:rPr>
        <w:t>E. 2.1</w:t>
      </w:r>
    </w:p>
    <w:p>
      <w:r>
        <w:t>Der Anspruch auf rechtliches Gehör nach Art. 29 Abs. 2 BV und Art. 29 ff. VwVG umfasst alle Befugnisse, die einer Partei einzuräumen sind, damit sie in einem Verfahren ihren Standpunkt wirksam zur Geltung bringen kann (BGE 144 II 427 E. 3.1).</w:t>
      </w:r>
    </w:p>
    <w:p>
      <w:r>
        <w:rPr>
          <w:b/>
        </w:rPr>
        <w:t>E. 2.2</w:t>
      </w:r>
    </w:p>
    <w:p>
      <w:r>
        <w:t>Dazu gehört insbesondere das Recht des Betroffenen, sich vor Erlass eines Entscheides zur Sache zu äussern (vgl. Art. 30 Abs. 1 VwVG; statt vieler: BGE 144 I 11 E. 5.3; BVGE 2009/35 E. 6.4.1; je m.w.H.). Weiter verlangt der Anspruch, dass die Behörde die Vorbringen der vom Entscheid betroffenen Person tatsächlich hört, prüft und in der Entscheidfindung be- rücksichtigt (vgl. Art. 32 Abs. 1 VwVG). Aus dem Anspruch auf rechtliches Gehör folgt sodann die Verpflichtung der Behörde, ihren Entscheid zu be- gründen (vgl. Art. 35 Abs. 1 VwVG). Dabei müssen wenigstens kurz die Überlegungen genannt werden, von denen sich die Behörde hat leiten las- sen und auf die sich ihr Entscheid stützt (BGE 143 III 65 E. 5.2). Eine blosse «Formularverfügung» ohne Begründung genügt den Anforderungen an die Begründungspflicht nicht (vgl. BVGE 2009/54 E. 2.3; Urteil des BVGer F-3353/2023 vom 3. November 2023 E. 4.1 m.w.H.).</w:t>
      </w:r>
    </w:p>
    <w:p>
      <w:r>
        <w:rPr>
          <w:b/>
        </w:rPr>
        <w:t>E. 2.3</w:t>
      </w:r>
    </w:p>
    <w:p>
      <w:r>
        <w:t>Des Weiteren sichert Art. 12 des Übereinkommens vom 20. November 1989 über die Rechte des Kindes (KRK, SR 0.107) dem Kind, das fähig ist, sich eine eigene Meinung zu bilden, das Recht zu, diese Meinung in allen es berührenden Angelegenheiten frei zu äussern (Abs. 1). Zu diesem Zweck wird dem Kind insbesondere Gelegenheit gegeben, in allen es be- rührenden Gerichts- oder Verwaltungsverfahren entweder unmittelbar oder durch einen Vertreter oder eine geeignete Stelle im Einklang mit den inner- staatlichen Verfahrensvorschriften gehört zu werden (Abs. 2; vgl. BGE 147 I 149 E. 3.2; 144 II 1 E. 6.5; Urteil des BVGer F-773/2024 vom 13. Februar 2024 E. 4.2 m.w.H.).</w:t>
      </w:r>
    </w:p>
    <w:p>
      <w:r>
        <w:rPr>
          <w:b/>
        </w:rPr>
        <w:t>E. 3</w:t>
      </w:r>
    </w:p>
    <w:p>
      <w:r>
        <w:t>Die Vorinstanz hat den Beschwerdeführer nicht zur Kantonszuweisung an- gehört. Dessen Verzichtserklärung vom 18. Juni 2024 bezog sich lediglich auf die Durchführung einer Anhörung zu seinen Asylgründen und nicht auf die Kantonszuweisung, weshalb ihm die Möglichkeit hätte gewährt werden müssen, sich dazu zu äussern. Indem die Vorinstanz dies nicht tat, ver- letzte sie seinen Anspruch auf rechtliches Gehör.</w:t>
      </w:r>
    </w:p>
    <w:p>
      <w:r>
        <w:rPr>
          <w:b/>
        </w:rPr>
        <w:t>E. 4</w:t>
      </w:r>
    </w:p>
    <w:p>
      <w:r>
        <w:t>Die angefochtene Verfügung vom 24. Juni 2024 ist aus formellen Gründen</w:t>
      </w:r>
    </w:p>
    <w:p>
      <w:r>
        <w:t>F-4223/2024 Seite 5 aufzuheben und die Vorinstanz anzuweisen, dem Beschwerdeführer zur Kantonszuweisung das rechtliche Gehör zu gewähren und die Sache im Sinne der Erwägungen neu zu beurteilen.</w:t>
      </w:r>
    </w:p>
    <w:p>
      <w:r>
        <w:rPr>
          <w:b/>
        </w:rPr>
        <w:t>E. 5</w:t>
      </w:r>
    </w:p>
    <w:p>
      <w:r>
        <w:t>Nach dem Gesagten ist die Beschwerde insofern gutzuheissen, als die Auf- hebung der vorinstanzlichen Verfügung und die Rückweisung der Sache beantragt wird. Angesichts des Verfahrensausgangs erübrigt es sich, auf die weiteren Beschwerdevorbringen näher einzugehen.</w:t>
      </w:r>
    </w:p>
    <w:p>
      <w:r>
        <w:rPr>
          <w:b/>
        </w:rPr>
        <w:t>E. 6.1</w:t>
      </w:r>
    </w:p>
    <w:p>
      <w:r>
        <w:t>Bei diesem Ausgang des Verfahrens sind keine Kosten zu erheben (Art. 63 Abs. 1 und 2 VwVG).</w:t>
      </w:r>
    </w:p>
    <w:p>
      <w:r>
        <w:rPr>
          <w:b/>
        </w:rPr>
        <w:t>E. 6.2</w:t>
      </w:r>
    </w:p>
    <w:p>
      <w:r>
        <w:t>Dem vertretenen Beschwerdeführer wäre angesichts seines Obsie- gens in Anwendung von Art. 64 VwVG und Art. 7 Abs. 1 des Reglements vom 21. Februar 2008 über die Kosten und Entschädigungen vor dem Bun- desverwaltungsgericht (VGKE, SR 173.320.2) grundsätzlich eine Entschä- digung für die ihm notwendigerweise erwachsenen Parteikosten zuzuspre- chen. Er ist auf Beschwerdeebene jedoch durch seine zugewiesene Rechtsvertretung im Sinne von Art. 102h AsylG vertreten. Das SEM richtet dem Leistungserbringer – der nach Art. 102f und Art. 102i AsylG für die Sicherstellung, Organisation und Durchführung der Rechtsvertretung zu- ständig ist – eine Entschädigung für die Wahrnehmung der Rechtsvertre- tung im Beschwerdeverfahren, insbesondere das Verfassen einer Be- schwerdeschrift, aus (Art. 102k Abs. 1 Bst. d AsylG). Es ist daher davon auszugehen, dass dem Beschwerdeführer keine Parteikosten erwuchsen, weshalb keine Parteientschädigung zuzusprechen ist (vgl. BVGE 2017 VI/3 E. 9.2.4 f.).</w:t>
      </w:r>
    </w:p>
    <w:p>
      <w:r>
        <w:rPr>
          <w:b/>
        </w:rPr>
        <w:t>E. 7</w:t>
      </w:r>
    </w:p>
    <w:p>
      <w:r>
        <w:t>Dieses Urteil ist endgültig (Art. 83 Bst. d Ziff. 1 BGG). (Dispositiv nächste Seite)</w:t>
      </w:r>
    </w:p>
    <w:p>
      <w:r>
        <w:t>F-4223/2024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