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F-4221/2021 vom 24. Juni 2022</w:t>
      </w:r>
    </w:p>
    <w:p>
      <w:r>
        <w:t>Bundesverwaltungsgericht, 2022-06-24, DE</w:t>
      </w:r>
    </w:p>
    <w:p>
      <w:r>
        <w:rPr>
          <w:b/>
        </w:rPr>
        <w:t xml:space="preserve">Quelle: </w:t>
      </w:r>
      <w:r>
        <w:t>https://mcp.opencaselaw.ch/entscheid/bvger_F-4221_2021</w:t>
      </w:r>
    </w:p>
    <w:p>
      <w:r>
        <w:t>FR: TAF F-4221/2021 du 24 juin 2022</w:t>
      </w:r>
    </w:p>
    <w:p>
      <w:r>
        <w:t>IT: TAF F-4221/2021 del 24 giugno 2022</w:t>
      </w:r>
    </w:p>
    <w:p>
      <w:pPr>
        <w:pStyle w:val="Heading2"/>
      </w:pPr>
      <w:r>
        <w:t>Regeste</w:t>
      </w:r>
    </w:p>
    <w:p>
      <w:r>
        <w:t>Einreiseverbot</w:t>
      </w:r>
    </w:p>
    <w:p>
      <w:pPr>
        <w:pStyle w:val="Heading2"/>
      </w:pPr>
      <w:r>
        <w:t>Erwägungen</w:t>
      </w:r>
    </w:p>
    <w:p>
      <w:r>
        <w:rPr>
          <w:b/>
        </w:rPr>
        <w:t>E. 1.1</w:t>
      </w:r>
    </w:p>
    <w:p>
      <w:r>
        <w:t>Verfügungen des SEM, die ein Einreiseverbot im Sinne von Art. 67 AIG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Erhebung der Beschwerde legitimiert (Art. 48 Abs. 1 VwVG). Auf die im Übrigen frist- und formgerecht eingereichte Beschwerde ist einzutreten (Art. 50 und 52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BGE 139 II 534 E. 5.4.1; BVGE 2014/1 E. 2 m.H.).</w:t>
      </w:r>
    </w:p>
    <w:p>
      <w:r>
        <w:rPr>
          <w:b/>
        </w:rPr>
        <w:t>E. 3.1</w:t>
      </w:r>
    </w:p>
    <w:p>
      <w:r>
        <w:t>Der Beschwerdeführer rügt in formeller Hinsicht eine Verletzung des Anspruchs auf rechtliches Gehör (vgl. Art. 29 Abs. 2 BV und Art. 29 ff. VwVG). Die Vorinstanz habe das Einreiseverbot erlassen, ohne ihm vorgängig Gelegenheit zur Stellungnahme eingeräumt zu haben. Im Weiteren sei die Verfügung mangelhaft begründet, indem das SEM lediglich auf eine "nicht bewilligte Erwerbstätigkeit" verweise, ohne dies weiter zu konkretisieren oder zu belegen.</w:t>
      </w:r>
    </w:p>
    <w:p>
      <w:r>
        <w:rPr>
          <w:b/>
        </w:rPr>
        <w:t>E. 3.2</w:t>
      </w:r>
    </w:p>
    <w:p>
      <w:r>
        <w:t>Der verfassungsrechtliche Anspruch auf rechtliches Gehör umfasst eine Reihe persönlichkeitsbezogener Mitwirkungsrechte der Partei eines Gerichts- oder Verwaltungsverfahrens. Im Zentrum steht das Recht, vor dem Erlass einer belastenden Verfügung angehört zu werden (Art. 30 VwVG). Die Behörde hat die Partei jedoch nicht nur anzuhören, sondern sie hat das Geäusserte sorgfältig zu prüfen, zu würdigen und bei der Ent-scheidfindung zu berücksichtigen (Prüfungs- und Berücksichtigungspflicht; vgl. Art. 32 VwVG). In engem Konnex hiermit steht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Dies bedeutet indessen nicht, dass sie sich ausdrücklich mit jeder tatbeständlichen Behauptung und jedem rechtlichen Einwand auseinandersetzen muss. Vielmehr kann sie sich auf die für den Entscheid wesentlichen Gesichtspunkte beschränken. Je weiter der Entscheidungsspielraum, je komplexer die Sach- und Rechtslage und je schwerwiegender der Eingriff in die Rechtsstellung der betroffenen Person, desto höhere Anforderungen sind an die Begründung zu stellen (vgl. zum Ganzen BGE 137 II 266 E. 3.2; 136 I 229 E. 5.2; BVGE 2012/24 E. 3.2; 2009/35 E. 6.4.1; Kölz/Häner/Bertschi, a.a.O., N 629 ff.; Lorenz Kneubühler, Die Begründungspflicht, 1998, S. 26 ff. u. S. 178 ff.; René Wiederkehr, Die Begründungspflicht nach Art. 29 Abs. 2 BV und die Heilung bei Verletzung, ZBl 9/2010 S. 484 ff.).</w:t>
      </w:r>
    </w:p>
    <w:p>
      <w:r>
        <w:rPr>
          <w:b/>
        </w:rPr>
        <w:t>E. 3.3</w:t>
      </w:r>
    </w:p>
    <w:p>
      <w:r>
        <w:t>Entgegen seiner anderslautenden Behauptung hatte der Beschwerdeführer sehr wohl Gelegenheit, zur gegen ihn verhängten Fernhaltemassnahme vorgängig Stellung zu nehmen. Anlässlich der Einvernahme durch die Stadtpolizei Zürich vom 8. September 2021, welche mit Hilfe eines Übersetzers erfolgte, wurde der Beschwerdeführer ausdrücklich darauf hingewiesen, dass die zuständigen Behörden die Verhängung einer Fernhaltemassnahme gegen ihn prüfen könnten. Auf die anschliessende Frage, ob er sich dazu äussern wolle, antwortete der Beschwerdeführer mit "nein" (ZH-act. 15).</w:t>
      </w:r>
    </w:p>
    <w:p>
      <w:r>
        <w:rPr>
          <w:b/>
        </w:rPr>
        <w:t>E. 3.4</w:t>
      </w:r>
    </w:p>
    <w:p>
      <w:r>
        <w:t>Dass das rechtliche Gehör nicht von der Vorinstanz selbst, sondern von der Stadtpolizei Zürich gewährt wurde, ist ebenfalls nicht zu beanstanden (vgl. Patrick Sutter, in: Auer/Müller/Schindler (Hrsg.), Kommentar zum Bundesgesetz über das Verwaltungsverfahren (VwVG), 2008, Rz. 6 zu Art. 30 sowie anstelle mehrerer Urteil des BVGer C-5190/2014 vom 25. September 2015 E. 3 m.H.). Abgesehen davon besteht hier ein enger zeitlicher Zusammenhang zwischen Gehörsgewährung und Verfügungserlass. Sein Gehörsanspruch wurde somit durch das beschriebene Vorgehen der Behörden ohne weiteres gewahrt (vgl. auch Urteil des BVGer F-5736/2015 vom 6. Januar 2017 E. 3.3).</w:t>
      </w:r>
    </w:p>
    <w:p>
      <w:r>
        <w:rPr>
          <w:b/>
        </w:rPr>
        <w:t>E. 3.5</w:t>
      </w:r>
    </w:p>
    <w:p>
      <w:r>
        <w:t>Entgegen der Auffassung des Beschwerdeführers lassen sich aus dem Umfang der Begründung keine direkten Schlüsse auf ihr rechtliches Genügen ziehen. Massgebend ist allein, ob sie ihre Funktion erfüllt. Das kann auch eine knappe Begründung leisten. Die Vorinstanz legt verständlich dar, aus welchen Gründen ihrer Ansicht nach in casu von einem Verstoss gegen die öffentliche Sicherheit und Ordnung im Sinne von Art. 67 Abs. 2 Bst. a AIG auszugehen ist. Im Weiteren gilt es zu berücksichtigen, dass das Einreiseverbot zu den quantitativ häufigsten Anordnungen der schweizerischen Verwaltungspraxis zählt und das SEM als erstinstanzliche Behörde speditiv zu entscheiden hat. An die Begründungsdichte dürfen deshalb keine überspannten Anforderungen gestellt werden (vgl. Urteil des BVGer F-4156/2016 vom 8. Dezember 2017 E. 3.4 m.H.). Es war dem Beschwerdeführer denn auch ohne weiteres möglich, sachgerecht und vollständig gegen die vorinstanzliche Verfügung zu argumentieren. Seine Rügen sind daher als unbegründet zurückzuweisen. Soweit diese Sachverhalts- und Subsumtionsfragen beinhalten, bilden sie überdies Gegenstand der materiell-rechtlichen Beurteilung.</w:t>
      </w:r>
    </w:p>
    <w:p>
      <w:r>
        <w:rPr>
          <w:b/>
        </w:rPr>
        <w:t>E. 3.6</w:t>
      </w:r>
    </w:p>
    <w:p>
      <w:r>
        <w:t>Als nicht zutreffend erweist sich schliesslich der Einwand des Rechtsvertreters, in casu habe nicht die Vorinstanz, sondern die der Sicherheitsdirektion des Kantons Zürich unterstehende Zürcher Kantonspolizei durch Übergabe des nicht unterzeichneten und keinen Namen einer natürlichen Person tragenden Formulars gegenüber dem Beschwerdeführer als automatische Folge der kantonalen Wegweisungsverfügung "verfügt". In diesem Zusammenhang verweist das Bundesverwaltungsgericht auf die ausführlichen Erwägungen im Urteil C-2492/2008 vom 31. August 2009 E. 3.3.4 - 3.3.7.</w:t>
      </w:r>
    </w:p>
    <w:p>
      <w:r>
        <w:rPr>
          <w:b/>
        </w:rPr>
        <w:t>E. 4.1</w:t>
      </w:r>
    </w:p>
    <w:p>
      <w:r>
        <w:t>Das SEM kann gestützt auf Art. 67 Abs. 2 Bst. a-c AIG gegenüber ausländischen Personen Einreiseverbote verfügen,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für eine Dauer von höchstens fünf Jahren verfügt. Es kann für eine längere Dauer angeordnet werden, wenn die betroffene Person eine schwerwiegende Gefahr für die öffentliche Sicherheit und Ordnung darstellt (Art. 67 Abs. 3 AIG). Aus humanitären oder anderen wichtigen Gründen kann die zuständige Behörde ausnahmsweise von der Verhängung eines Einreiseverbots absehen oder ein Einreiseverbot endgültig oder vorübergehend aufheben (Art. 67 Abs. 5 AIG).</w:t>
      </w:r>
    </w:p>
    <w:p>
      <w:r>
        <w:rPr>
          <w:b/>
        </w:rPr>
        <w:t>E. 4.2</w:t>
      </w:r>
    </w:p>
    <w:p>
      <w:r>
        <w:t>Das in Art. 67 AIG geregelte Einreiseverbot stellt keine Sanktion dar, sondern eine Massnahme zur Abwendung einer künftigen Störung der öffentlichen Sicherheit und Ordnung (vgl. Botschaft zum Bundesgesetz über die Ausländerinnen und Ausländer vom 8. März 2002 [nachfolgend: Botschaft], BBl 2002 3709, S. 3813).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Somit liegt ein Verstoss gegen die öffentliche Sicherheit und Ordnung dann vor, wenn gesetzliche Vorschriften oder behördliche Verfügungen missachtet werden (vgl. Art. 77a Abs. 1 Bst. a VZAE). Widerhandlungen gegen Normen des Ausländerrechts fallen ohne weiteres unter diese Begriffsbestimmung und können ein Einreiseverbot nach sich ziehen (vgl. Botschaft, a.a.O., S. 3813). Die Verhängung eines Einreiseverbots knüpft an das Risiko einer künftigen Gefährdung an. Gestützt auf sämtliche Umstände des Einzelfalles ist eine entsprechende Prognose zu stellen. Dabei ist naturgemäss primär das vergangene Verhalten der betroffenen Person zu berücksichtigen (vgl. anstelle vieler Urteil des BVGer F-4025/2017 vom 1. Oktober 2018 E. 3.2 m.H.). Es genügt dabei, wenn der ausländischen Person eine Sorgfaltspflichtverletzung zugerechnet werden kann. Unkenntnis oder Fehlinterpretation der Einreise- und Aufenthaltsvorschriften stellen in der Regel keinen hinreichenden Grund für ein Absehen von einer Fernhaltemassnahme dar (vgl. Urteil des BVGer F-5969/2016 vom 28. September 2017 E. 4.4. m.H.).</w:t>
      </w:r>
    </w:p>
    <w:p>
      <w:r>
        <w:rPr>
          <w:b/>
        </w:rPr>
        <w:t>E. 4.3</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des Europäischen Parlaments und des Rates vom 20. Dezember 2006 über die Einrichtung, den Betrieb und die Nutzung des Schengener Informationssystems der zweiten Generation [SIS-II], Abl. L 381/4 vom 28.12.2006 [nachfolgend: SIS-II-Verordnung]; Art. 20 der Verordnung vom 8. März 2013 über den nationalen Teil des Schengener Informationssystems [N-SIS] und das SIRENE-Büro [N-SIS-Verordnung, SR 362.0]).</w:t>
      </w:r>
    </w:p>
    <w:p>
      <w:r>
        <w:rPr>
          <w:b/>
        </w:rPr>
        <w:t>E. 4.4</w:t>
      </w:r>
    </w:p>
    <w:p>
      <w:r>
        <w:t>Der ausländerrechtliche Begriff der Erwerbstätigkeit ist weit gefasst (vgl. Spescha, in: Spescha et al. [Hrsg], Kommentar Migrationsrecht, 5. Aufl. 2019, Art. 11 AIG N 2). Als Erwerbstätigkeit im Sinne des Gesetzes gilt jede üblicherweise gegen Entgelt ausgeübte unselbständige oder selbständige Tätigkeit, selbst wenn sie unentgeltlich erfolgt (Art. 11 Abs. 2 AIG). Eine Tätigkeit gilt dann als üblicherweise gegen Entgelt gerichtet, wenn sie ihrer Art und ihrem Umfang nach auf dem schweizerischen Arbeits- und Dienstleistungsmarkt angeboten wird (vgl. Egli/Meyer, Handkommentar zum Bundesgesetz über die Ausländerinnen und Ausländer, 2010, Art. 11 N 6). Ohne Belang für die Qualifikation als Erwerbstätigkeit ist dabei, ob die Beschäftigung nur stunden- oder tageweise oder vorübergehend ausgeübt wird (vgl. Art. 1a und 2 VZAE).</w:t>
      </w:r>
    </w:p>
    <w:p>
      <w:r>
        <w:rPr>
          <w:b/>
        </w:rPr>
        <w:t>E. 5.1</w:t>
      </w:r>
    </w:p>
    <w:p>
      <w:r>
        <w:t>Der Beschwerdeführer macht geltend, dass das Strafverfahren gegen ihn eingestellt worden sei und es nicht nachvollziehbar sei, weshalb die Verwaltungsbehörden von den tatsächlichen und rechtlichen Feststellungen der Strafbehörden abweichen sollten. Diesbezüglich gilt es festzuhalten, dass das Strafverfahren gegen den Beschwerdeführer - wie erwähnt - allein aus formellen Gründen aufgrund des strafprozessualen Verwertungsverbots gemäss Art. 141 Abs. 2 StPO eingestellt worden ist, da die Voraussetzungen für die verdeckte Fahndung gemäss Art. 298b StPO nicht erfüllt waren und deshalb im Strafverfahren nicht verwertet werden durften (vgl. Bst. K. des Sachverhalts). Die Staatsanwaltschaft hat jedoch zu keiner Zeit festgehalten, der fragliche Polizist habe wahrheitswidrige Angaben gemacht. Zum andern weist das Bundesverwaltungsgericht an dieser Stelle darauf hin, dass das Einreiseverbot nicht an die Erfüllung einer Strafnorm, sondern an das Vorliegen einer Polizeigefahr anknüpft und die Behörde in eigener Kompetenz unter Zugrundelegung spezifisch ausländerrechtlicher Kriterien zu beurteilen hat, ob eine solche besteht. Entsprechend kann ein Einreiseverbot auch dann ergehen, wenn ein rechtkräftiges Strafurteil fehlt, sei es, weil ein Strafverfahren nicht eröffnet wurde, noch hängig ist oder wie in casu eingestellt wurde (vgl. Urteile des BVGer F-5969/2016 vom 28. September 2017 E. 6.4 m.H.; C-7068/2013 vom 19. Mai 2015 E. 5.5 m.H.). Als präventivpolizeiliche Massnahme knüpft das Einreiseverbot direkt an die Störung der öffentlichen Sicherheit und Ordnung an und nicht an die Ahndung derselben. Ob eine solche Störung besteht und wie diese zu gewichten ist, hat die Verwaltungsbehörde in eigener Kompetenz unter Zugrundelegung ausländerrechtlicher Kriterien zu beurteilen. Es genügt, dass Verdachtsmomente vorliegen, die von der Behörde als hinreichend konkret erachtet werden, wobei die Unschuldsvermutung im Administrativverfahren - entgegen der Ansicht des Rechtsvertreters - grundsätzlich keine Geltung beanspruchen kann. So ist die Einhaltung der öffentlichen Ordnung und Sicherheit nicht notwendigerweise mit der Verletzung von Strafbestimmungen deckungsgleich. Die fremdenpolizeiliche Behörde lässt sich zudem, wie erwähnt, von anderen Überlegungen leiten als die Strafbehörde. Während die Entscheidung des Strafrichters in erster Linie von Überlegungen im Zusammenhang mit den Aussichten auf eine soziale Wiedereingliederung des Verurteilten bestimmt wird, ist die Sorge um die öffentliche Ordnung und Sicherheit bei der Fremdenpolizei ausschlaggebend. Die fremdenpolizeiliche Beurteilung kann daher strenger ausfallen als diejenige der Strafbehörde (vgl. in diesem Zusammenhang die ausführlichen Erwägungen im Grundsatzurteil des BVGer F-1367/2019 vom 20. Juli 2021 E. 9.3 m.H.).</w:t>
      </w:r>
    </w:p>
    <w:p>
      <w:r>
        <w:rPr>
          <w:b/>
        </w:rPr>
        <w:t>E. 5.2</w:t>
      </w:r>
    </w:p>
    <w:p>
      <w:r>
        <w:t>Der Beschwerdeführer bestreitet, dass er zu Klagen Anlass gegeben habe und einer Erwerbstätigkeit nachgegangen sei. Dies entgegen seinen Aussagen anlässlich seiner polizeilichen Einvernahme vom 8. September 2021, wo er sich geständig zeigte und zugab, in der Schweiz ohne Bewilligung eine selbständige Erwerbstätigkeit (Prostitution) ausgeübt zu haben (vgl. Ziff. 51 der Einvernahme, ZH-act. 22). Dabei legte er in schlüssiger Weise dar, aus welchen Gründen er in der Schweiz Dienstleistungen gegen Entgelt erbrachte (vgl. Ziff. 14 und 34 der Einvernahme, ZH-act. 19 und 21). Zudem bestätigte er unterschriftlich, dass ihm das aufgesetzte Protokoll übersetzt wurde und dass dieses inhaltlich zutraf. Dabei muss er sich behaften lassen.</w:t>
      </w:r>
    </w:p>
    <w:p>
      <w:r>
        <w:rPr>
          <w:b/>
        </w:rPr>
        <w:t>E. 5.3</w:t>
      </w:r>
    </w:p>
    <w:p>
      <w:r>
        <w:t>Nach dem Gesagten sieht es das Bundesverwaltungsgericht als erwiesen an, dass der Beschwerdeführer im beschriebenen Umfang einer Erwerbstätigkeit im Sinne von Art. 11 Abs. 2 AIG nachgegangen ist. Mit seiner illegalen Erwerbstätigkeit in der Schweiz hat er somit fraglos ausländerrechtliche Bestimmungen verletzt, was als Verstoss gegen die öffentliche Sicherheit und Ordnung zu werten ist (Art. 67 Abs. 2 Bst. a AIG; Art. 77a Abs. 1 Bst. a VZAE). Daran vermag auch der Umstand nichts zu ändern, dass die Sicherheitsdirektion des Kantons Zürich - im Rahmen des kantonalen Wegweisungsverfahrens - bei einer Erwerbstätigkeit als Prostituierter in einem Zeitraum von lediglich sieben Tagen nicht von einer Gefährdung der öffentlichen Sicherheit und Ordnung auszugehen scheint (vgl. Rekursentscheid vom 3. März 2022 Erw. 8.4), ist doch das Bundesverwaltungsgericht ohnehin nicht an die rechtliche Würdigung durch die kantonale Behörde gebunden.</w:t>
      </w:r>
    </w:p>
    <w:p>
      <w:r>
        <w:rPr>
          <w:b/>
        </w:rPr>
        <w:t>E. 6</w:t>
      </w:r>
    </w:p>
    <w:p>
      <w:r>
        <w:t>Es bleibt zu prüfen, ob die Massnahme in richtiger Ausübung des Ermessens ergangen und angemessen ist.</w:t>
      </w:r>
    </w:p>
    <w:p>
      <w:r>
        <w:rPr>
          <w:b/>
        </w:rPr>
        <w:t>E. 6.1</w:t>
      </w:r>
    </w:p>
    <w:p>
      <w:r>
        <w:t>Der Entscheid darüber, ob ein Einreiseverbot anzuordnen und wie es innerhalb des zulässigen zeitlichen Rahmens zu befristen ist, legt Art. 67 Abs. 2 AIG in das pflichtgemässe Ermessen der Behörde (BGE 139 II 121 E. 6.5.1; 108 Ib 196 E. 4a). Zu beachten ist insbesondere der Grundsatz der Verhältnismässigkeit (BVGE 2016/33 E. 9; 2014/20 E. 8.1). Erforderlich ist eine einzelfallbezogene Interessenabwägung unter Berücksichtigung sämtlicher wesentlicher Umstände (Art. 5 Abs. 2 BV; Art. 96 AIG; BGE 139 I 16 E. 2.2.1; 135 II 377 E. 4.3). Massgebend ist dabei das öffentliche Interesse an der Fernhaltemassnahme einerseits und die durch sie beeinträchtigten privaten Interessen des Beschwerdeführers andererseits. Ausgangspunkt der Überlegungen bilden die Stellung der verletzten oder gefährdeten Rechtsgüter, die Besonderheiten des ordnungswidrigen Verhaltens, die persönlichen Verhältnisse des Beschwerdeführers und das von ihm ausgehende, zukünftige Gefährdungspotenzial (BGE 139 II 121 E. 6.5.1; BVGE 2014/20 E. 8.1).</w:t>
      </w:r>
    </w:p>
    <w:p>
      <w:r>
        <w:rPr>
          <w:b/>
        </w:rPr>
        <w:t>E. 6.2</w:t>
      </w:r>
    </w:p>
    <w:p>
      <w:r>
        <w:t>Der Beschwerdeführer hat, wie festgestellt, wegen Erwerbstätigkeit ohne Bewilligung in der Schweiz gegen die öffentliche Sicherheit und Ordnung im Sinne von Art. 67 Abs. 2 Bst. a AIG verstossen. Dieses Fehlverhalten wiegt objektiv nicht leicht, kommt doch den ausländerrechtlichen Normen im Zusammenhang mit Einreise, Aufenthalt und Aufnahme einer Erwerbstätigkeit grundsätzlich eine zentrale Bedeutung zu, wenn es darum geht, eine funktionierende Rechtsordnung zu gewährleisten (BVGE 2016/33 E. 4.3; 2014/20 E. 8.2; statt vieler: Urteil des BVGer F-3451/2018 vom 22. Januar 2020 E. 6.2). Die Verhängung einer Fernhaltemassnahme scheint auch unter dem spezialpräventiven Aspekt als gerechtfertigt, den Beschwerdeführer zu ermahnen, bei einer allfälligen künftigen Wiedereinreise in die Schweiz nach Ablauf des Einreiseverbots die geltenden ausländerrechtlichen Vorschriften einzuhalten, lässt dieser doch jede Einsicht in die Problematik seines Tuns missen. Es besteht daher ein gewichtiges öffentliches Interesse an der Anordnung eines Einreiseverbots.</w:t>
      </w:r>
    </w:p>
    <w:p>
      <w:r>
        <w:rPr>
          <w:b/>
        </w:rPr>
        <w:t>E. 6.3</w:t>
      </w:r>
    </w:p>
    <w:p>
      <w:r>
        <w:t>In seiner Rechtsmitteleingabe vom 22. September 2021 machte der Beschwerdeführer geltend, er verfüge in verschiedenen Schengen-Staaten seit 2019 über ein für ihn wichtiges soziales Netz, namentlich in Belgien, Deutschland, Spanien und in der Schweiz, wobei er zur Substantiierung seiner privaten Beziehungen und Freundschaften im Schengen-Raum Namen, Adressen und Fotos wichtiger sozialer Bezugspersonen zu den Akten reichen liess. Durch ein jahrelanges Einreiseverbot werde er massiv in seiner Bewegungsfreiheit eingeschränkt, womit die Pflege der Freundschaften durch die Fernhaltemassnahme in einer das von Art. 8 EMRK geschützte Privatleben verletzenden Weise erheblich behindert werde. Sollte es dabei um unerlässliche Einreisen in die Schweiz gehen, so bliebe dem Beschwerdeführer, wie das Bundesverwaltungsgericht darauf hinweist, immer noch die Möglichkeit, bei der Vorinstanz aus wichtigen Gründen die zeitliche Suspension der angeordneten Fernhaltemassnahme zu beantragen (Art 67 Abs. 5 AIG). Abgesehen davon hat der Beschwerdeführer nicht dargetan, in einem solchen Ausmass in seiner Privatsphäre betroffen zu sein, um die Anwendbarkeit des Schutzes des Privatlebens anrufen zu können.</w:t>
      </w:r>
    </w:p>
    <w:p>
      <w:r>
        <w:rPr>
          <w:b/>
        </w:rPr>
        <w:t>E. 6.4</w:t>
      </w:r>
    </w:p>
    <w:p>
      <w:r>
        <w:t>Die Ausschreibung des Einreiseverbots im Schengener Informationssystem (vgl. Art. 21 i.V.m. Art. 24 Ziff. 3 SIS-II-Verordnung) erweist sich unter den vorliegenden Umständen schliesslich als verhältnismässig und zur Wahrung der Interessen der Gesamtheit aller Schengen-Staaten als notwendig. Sie ist nicht zu beanstanden, geht es doch in Konstellationen wie der hier gegebenen um zentrale Bestimmungen der migrationsrechtlichen Ordnung. Im Übrigen hindert die Ausschreibung die anderen Schengen-Staaten nicht daran, der betroffenen Person aus humanitären Gründenoder Gründen des nationalen Interesses oder aufgrund internationaler Verpflichtungen die Einreise in das eigene Hoheitsgebiet zu gestatten (vgl. Art. 14 Abs. 1 i.V.m. Art. 6 Abs. 5 Bst. c der Verordnung [EG] Nr. 2016/399 des Europäischen Parlaments und des Rates vom 9. März 2016 über einen Unionskodex für das Überschreiten der Grenzen durch Personen [Kodifizierter Text] [Schengener Grenzkodex, SGK, Abl. L 77/1 vom 23.03.2016]) beziehungsweise ihr ein Schengen-Visum mit räumlich beschränkter Gültigkeit auszustellen (vgl. Art. 25 Abs. 1 Bst. a [ii] der Verordnung [EG] Nr. 810/2009 des Europäischen Parlaments und des Rates vom 13. Juli 2009 über einen Visakodex der Gemeinschaft [Visakodex, Abl. L 243/1 vom 15.09.2009]). Sie können dem Beschwerdeführer ferner nach Konsultation des ausschreibenden Staates aus wichtigen Gründen, insbesondere aus humanitären Gründen oder aufgrund internationaler Verpflichtungen, eine Aufenthaltsbewilligung erteilen, worauf die Ausschreibung zurückgenommen wird (Art. 25 Abs. 1 des Übereinkommens vom 19. Juni 1990 zur Durchführung des Übereinkommens betreffend den schrittweisen Abbau der Kontrollen an den gemeinsamen Grenzen [Schengener Durchführungsübereinkommen, SDÜ, Abl. L 239/19 vom 22.09.2000] in der Fassung der Verordnung [EU] Nr. 265/2010 des Europäischen Parlaments und des Rates vom 25.03.2010 [ABl. L 85/1 vom 31.03.2010]; vgl. auch Urteil des BVGer F-384/2019 vom 19. Februar 2020 E. 5.4).</w:t>
      </w:r>
    </w:p>
    <w:p>
      <w:r>
        <w:rPr>
          <w:b/>
        </w:rPr>
        <w:t>E. 6.5</w:t>
      </w:r>
    </w:p>
    <w:p>
      <w:r>
        <w:t>Eine wertende Gewichtung der sich gegenüberstehenden Interessen führt das Bundesverwaltungsgericht zum Schluss, dass das auf zwei Jahre befristete Einreiseverbot sowohl vom Grundsatz her als auch in Bezug auf seine Dauer (vgl. etwa Urteile des BVGer F-6047/2019 vom 30. Juni 2021; F-6906/2018 vom 10. Dezember 2019) eine verhältnismässige und angemessene Massnahme zum Schutz der öffentlichen Sicherheit und Ordnung darstellt.</w:t>
      </w:r>
    </w:p>
    <w:p>
      <w:r>
        <w:rPr>
          <w:b/>
        </w:rPr>
        <w:t>E. 7</w:t>
      </w:r>
    </w:p>
    <w:p>
      <w:r>
        <w:t>Aus diesen Erwägungen ergibt sich, dass die angefochtene Verfügung im Lichte von Art. 49 VwVG nicht zu beanstanden ist. Die Beschwerde ist somit abzuweisen, womit das (dritte) Gesuch um Wiederherstellung der aufschiebenden Wirkung der Beschwerde (vgl. Bst. L des Sachverhalts) gegenstandslos geworden ist.</w:t>
      </w:r>
    </w:p>
    <w:p>
      <w:r>
        <w:rPr>
          <w:b/>
        </w:rPr>
        <w:t>E. 8</w:t>
      </w:r>
    </w:p>
    <w:p>
      <w:r>
        <w:t>Entsprechend dem Ausgang des Verfahrens sind die Kosten in der Höhe von Fr. 1'000.- dem Beschwerdeführer aufzuerlegen (Art. 63 Abs. 1 VwVG i.V.m. Art. 1 ff. des Reglements vom 21. Februar 2008 über die Kosten und Entschädigungen vor dem Bundesverwaltungsgericht [VGKE, SR 173.320.2]). Sie sind durch den in gleicher Höhe geleisteten Kostenvorschuss gedeckt. (Dispositiv 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