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F-4213/2023 vom 7. November 2023</w:t>
      </w:r>
    </w:p>
    <w:p>
      <w:r>
        <w:t>Bundesverwaltungsgericht, 2023-11-07, DE</w:t>
      </w:r>
    </w:p>
    <w:p>
      <w:r>
        <w:rPr>
          <w:b/>
        </w:rPr>
        <w:t xml:space="preserve">Quelle: </w:t>
      </w:r>
      <w:r>
        <w:t>https://mcp.opencaselaw.ch/entscheid/bvger_F-4213_2023</w:t>
      </w:r>
    </w:p>
    <w:p>
      <w:r>
        <w:t>FR: TAF F-4213/2023 du 7 novembre 2023</w:t>
      </w:r>
    </w:p>
    <w:p>
      <w:r>
        <w:t>IT: TAF F-4213/2023 del 7 novembre 2023</w:t>
      </w:r>
    </w:p>
    <w:p>
      <w:pPr>
        <w:pStyle w:val="Heading2"/>
      </w:pPr>
      <w:r>
        <w:t>Regeste</w:t>
      </w:r>
    </w:p>
    <w:p>
      <w:r>
        <w:t>Personen des Asylrechts</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[vgl. dazu E. 1.3 hiernach] i.V.m. Art. 31 ff. VGG). Dieses entscheidet endgültig (Art. 1 Abs. 2 VGG i.V.m. Art. 83 Bst. c Ziff. 2 BGG).</w:t>
      </w:r>
    </w:p>
    <w:p>
      <w:r>
        <w:rPr>
          <w:b/>
        </w:rPr>
        <w:t>E. 1.2</w:t>
      </w:r>
    </w:p>
    <w:p>
      <w:r>
        <w:t>Der Beschwerdeführer ist zur Erhebung der Beschwerde legitimiert (Art. 48 Abs. 1 VwVG). Auf die frist- und formgerecht eingereichte Be- schwerde ist einzutreten (Art. 50 Abs. 1 VwVG; Art. 52 Abs. 1 VwVG).</w:t>
      </w:r>
    </w:p>
    <w:p>
      <w:r>
        <w:rPr>
          <w:b/>
        </w:rPr>
        <w:t>E. 1.3</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w:t>
      </w:r>
    </w:p>
    <w:p>
      <w:r>
        <w:t>F-4213/2023 Seite 5 ter auf. Deshalb richtet sich das Verfahren nach den Verfahrensbestim- mungen, die im Ausländerrecht anwendbar sind, d.h. jenen des AIG und des VwVG (vgl. BVGE 2020 VII/4 E. 5; Urteil des BVGer F-5830/2020 vom 15. April 2021 E. 1.3 m.w.H.).</w:t>
      </w:r>
    </w:p>
    <w:p>
      <w:r>
        <w:rPr>
          <w:b/>
        </w:rPr>
        <w:t>E. 1.4</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 linstanz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4.1</w:t>
      </w:r>
    </w:p>
    <w:p>
      <w:r>
        <w:t>Der Beschwerdeführer hält sich seit Einleitung des zwischenzeitlich abgeschlossenen Asylverfahrens und dem Abschluss mehrerer Folgegesuche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 5 f.)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w:t>
      </w:r>
    </w:p>
    <w:p>
      <w:r>
        <w:rPr>
          <w:b/>
        </w:rPr>
        <w:t>E. 4.2</w:t>
      </w:r>
    </w:p>
    <w:p>
      <w:r>
        <w:t>In Anlehnung an die Rechtsprechung des Bundesgerichts hat der Verordnungsgeber in Art. 31 Abs. 1 VZAE eine entsprechende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4.3</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(vgl. Urteil des BVGer F-3806/2021 vom 8. März 2023 E. 4.4 m.H.).</w:t>
      </w:r>
    </w:p>
    <w:p>
      <w:r>
        <w:rPr>
          <w:b/>
        </w:rPr>
        <w:t>E. 4.5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Urteil F-3806/2021 E. 4.5). Die sich daraus ergebende Überschneidung von Gründen, die den Wegweisungsvollzug betreffen, und solchen, die einen Härtefall (mit)begründen können, ist in Kauf zu nehmen (vgl. Urteil des BVGer F-3866/2017 vom 14. März 2019 E. 6.3 m.H.).</w:t>
      </w:r>
    </w:p>
    <w:p>
      <w:r>
        <w:rPr>
          <w:b/>
        </w:rPr>
        <w:t>E. 5</w:t>
      </w:r>
    </w:p>
    <w:p>
      <w:r>
        <w:t>Hinsichtlich der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5.1</w:t>
      </w:r>
    </w:p>
    <w:p>
      <w:r>
        <w:t>Was die Integration des Beschwerdeführers (Art. 31 Abs. 1 Bst. a VZAE i.V.m. Art. 58a Abs. 1 AIG), seine finanziellen Verhältnisse sowie den Willen zur Teilhabe am Wirtschaftsleben und zum Erwerb von Bildung (Art. 31 Abs. 1 Bst. d VZAE) betrifft, so ergibt sich aus den Akten Folgendes: Der Beschwerdeführer unterlag nach Ablauf des generellen dreimonatigen Arbeitsverbots (vgl. Art. 43 AsylG) bis zur Ausreisefrist am (Nennung Zeitpunkt) - mithin (Nennung Dauer) - nicht dem asylrechtlichen Arbeitsverbot. Weder übte er in diesem Zeitraum eine Erwerbstätigkeit aus noch hat er sich um eine solche bemüht. Auch sind aus den Akten keinerlei Anhaltspunkte ersichtlich, dass er während der bisherigen Aufenthaltsdauer irgendwelche Freiwilligenarbeiten geleistet hätte. Immerhin besuchte er (Nennung jeweilige Dauer) jeweils einen Berufsvorbereitungskurs in den Bereichen (Nennung Bereiche). Da er auf dem ersten Arbeitsmarkt nie tätig war, kann nicht von einer gelungenen wirtschaftlichen Integration oder einer finanziellen Unabhängigkeit gesprochen werden, auch wenn sein Wille zur Teilhabe am Wirtschaftsleben nicht in Abrede gestellt werden kann. Was seine sprachliche Integration anbelangt, so kann den Akten entnommen werden, dass er seit seiner Ankunft in der Schweiz Deutsch gelernt und sich einen Bekanntenkreis aufgebaut hat. Gemäss einem Zertifikat von (...) bewegen sich seine Sprachkenntnisse auf dem Niveau A2, wobei er beim Sprachtest das Prädikat "ausreichend" erreichte. Es ist davon auszugehen, dass er seither weitere Fortschritte gemacht hat. Er hat denn auch auf Beschwerdeebene mit Eingabe vom 14. August 2023 ein Referenzschreiben vom (...) eingereicht, das ihm einen regelmässigen Besuch eines Deutschkurses seit (Nennung Dauer) und deutliche Fortschritte seiner Sprachkenntnisse attestiert. Die verschiedenen Empfehlungsschreiben von Bekannten und Freunden bestätigen, dass er im Alltag sprachlich gut zurechtkommt. Die Empfehlungsschreiben lassen Anteilnahme und Sympathie für den Beschwerdeführer erkennen und bestätigen den aus ihrer Sicht bei ihm bestehenden Willen, am sozialen Leben in der näheren und weiteren Umgebung der jeweiligen Aussteller dieser Schreiben teilzunehmen. Diese Umstände weisen auf eine der Aufenthaltsdauer entsprechende gelungene soziale und sprachliche Integration hin. Der Grad der Integration kann jedoch nicht als derart fortgeschritten bezeichnet werden, dass sich alleine daraus eine so starke Verwurzelung in der Schweiz ergeben würde, die zu einer besonderen Härte führte, müsste er die Schweiz verlassen.</w:t>
      </w:r>
    </w:p>
    <w:p>
      <w:r>
        <w:rPr>
          <w:b/>
        </w:rPr>
        <w:t>E. 5.2</w:t>
      </w:r>
    </w:p>
    <w:p>
      <w:r>
        <w:t>Als weitere Integrationskriterien zu prüfen sind die Beachtung der öffentlichen Sicherheit und Ordnung sowie die Respektierung der Werte der Bundesverfassung (Art. 31 Abs. 1 Bst. a VZAE i.V.m. Art. 58a Abs. 1 Bst. a und b AIG). Der Beschwerdeführer wurde mit (Nennung Verurteilung) schuldig gesprochen. Das Verhalten des Beschwerdeführers kann damit nicht als klaglos bezeichnet werden. Zudem hat er sich wiederholt geweigert, die Schweiz jeweils nach dem rechtskräftigen Abschluss seiner (mehreren) Asylverfahren zu verlassen und seiner Pflicht zur Mitwirkung bei der Beschaffung von Reisedokumenten nachzukommen. Der in der Rechtsmitteleingabe geäusserte Einwand, es sei ihm die selbstständige Beschaffung gültiger Reisedokumente bislang nie möglich gewesen und er könne dies auch in Zukunft nicht tun, vermag zu keiner anderen Einschätzung zu führen. In den ihn betreffenden Asylurteilen vom 20. Dezember 2016 (vgl. D-8072/2015 E. 6.4) und vom 23. April 2018 (vgl. D-1042/2018 E. 6.4) wurde jeweils festgehalten, es bestehe Anlass zur Annahme, er verfüge weiterhin über seinen Reisepass, mit welchem er seine Heimat (Nennung Zeitpunkt) ordnungsgemäss (Nennung Ausreiseort) verlassen habe. Er sei verpflichtet, diesen dem SEM vorzulegen oder sich bei der zuständigen Vertretung seines Heimatstaates die für eine Rückkehr notwendigen (Ersatz-)Reisedokumente zu beschaffen (Art. 8 Abs. 4 AsylG). Es wäre ihm daher zumutbar und auch möglich gewesen, bei der Beschaffung von Reisedokumenten mitzuwirken respektive den ohne Angabe von Gründen den Schweizer Behörden allem Anschein nach vorenthaltenen Reisepass vorzulegen.</w:t>
      </w:r>
    </w:p>
    <w:p>
      <w:r>
        <w:rPr>
          <w:b/>
        </w:rPr>
        <w:t>E. 5.3</w:t>
      </w:r>
    </w:p>
    <w:p>
      <w:r>
        <w:t>Nichts zu seinen Gunsten ableiten kann der Beschwerdeführer aus seinen familiären Verhältnissen respektive dem Umstand, dass zwei (Nennung Verwandte) in der Schweiz leben. Mit Blick auf Art. 31 Abs. 1. Bst. c VZAE, so insbesondere den Zeitpunkt der Einschulung und die Dauer des Schulbesuchs der Kinder, ist festzustellen, dass er ledig ist und keine Kinder hat. Seine Eltern befinden sich in Sri Lanka. Auch das in Art. 31 Abs. 1 Bst. f VZAE genannte Kriterium des Gesundheitszustandes erfordert im vorliegenden Fall keine weitere Prüfung. So führt der Beschwerdeführer in seiner Rechtsmitteleingabe (Ziff. 4.3.5) an, die aus dem Jahr (...) stammenden Arztberichte zeigten, dass er unter (Nennung Beschwerden) gelitten habe. Es sei ihm jedoch neben der ärztlichen Behandlung gerade auch durch seine Integration in der Schweiz gelungen, diese Probleme in den Griff zu bekommen.</w:t>
      </w:r>
    </w:p>
    <w:p>
      <w:r>
        <w:rPr>
          <w:b/>
        </w:rPr>
        <w:t>E. 5.4</w:t>
      </w:r>
    </w:p>
    <w:p>
      <w:r>
        <w:t>Zur Dauer der Anwesenheit des Beschwerdeführers in der Schweiz (Art. 31 Abs. 1 Bst. e VZAE) ist festzuhalten, dass er am (Nennung Zeitpunkt) in die Schweiz einreiste. Sein (erstes) Asylverfahren wurde mit Urteil des BVGer D-8072/2015 vom 20. Dezember 2016 rechtskräftig abgeschlossen. Der rechtmässige Aufenthalt des Beschwerdeführers in der Schweiz umfasst damit die Zeitspanne des Asylverfahrens (Nennung Dauer), wobei diese durch das Ergreifen von Rechtsmitteln und weiteren Gesuchen verlängert wurde, so durch die Einreichung eines Revisionsgesuchs (um [Nennung Dauer]), eines ersten Mehrfachgesuchs gemäss Art. 111c AsylG (um [Nennung Dauer]) und eines zweiten Mehrfachgesuchs (um [Nennung Dauer]). Weder liegt damit beim Beschwerdeführer eine so lange Aufenthaltsdauer (Nennung Gesamtdauer) vor, dass sie im Sinne der Rechtsprechung das Vorliegen eines Härtefalls zu begründen vermöchte (vgl. vorstehend E. 4.4) noch wären selbst bei einem über zehnjährigen rechtmässigen Aufenthalt die weiteren Voraussetzungen gemäss dieser Rechtsprechung infolge eines nicht klaglosen Verhaltens in der Schweiz und der fehlenden beruflichen Integration gegeben.</w:t>
      </w:r>
    </w:p>
    <w:p>
      <w:r>
        <w:rPr>
          <w:b/>
        </w:rPr>
        <w:t>E. 5.5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 Jahren in die Schweiz und hat damit die für die vorliegende Beurteilung massgebenden, prägenden Jahre der Adoleszenz in seiner Heimat verbracht und dort die Schule mit (...) abgeschlossen, weshalb von einer dortigen Verwurzelung ausgegangen werden kann, auch wenn er seine Heimat eigenen Angaben zufolge bereits im Alter von knapp (...) Jahren verliess. In der Folge lebte er während (Nennung Dauer) in C._______ und (Nennung Dauer) als Student in D._______, wo er jeweils Berufserfahrungen gesammelt haben dürfte (vgl. auch Urteil D-8072/2015 E. 6.3). Er ist - wie oben erwähnt - ledig und hat in der Schweiz keine familiären Verpflichtungen, auch wenn hierzulande (Nennung Verwandte) wohnhaft sind. In seiner Heimat verfügt er an seinem Heimatort mit seinen Eltern und (Nennung Verwandte), welche (Nennung Tätigkeit) würden, über enge familiäre Anknüpfungspunkte. Auch wenn er inzwischen zu seinen Familienangehörigen kaum oder keinen Kontakt gehabt haben will, dürfte die Reaktivierung dieser Beziehungen den sozialen Integrationsprozess erleichtern. Zudem werden ihm bei der beruflichen Wiedereingliederung die in der Schweiz und im übrigen Ausland erworbenen Kenntnisse und Fähigkeiten von Nutzen sein. Gemäss seinen Angaben habe er den Kontakt zu seiner Familie deshalb abbrechen müssen, weil es für die Familie zu gefährlich gewesen sei (vgl. Beschwerdeschrift S. 13, letzter Absatz); dies sei durch den Besuch von Angehörigen des (Nennung Behörde) im Jahr (...) deutlich geworden. Nachdem er einen solchen Besuch des (Nennung Behörde) weder im zweiten Mehrfachgesuch vom 29. Oktober 2018 noch während des nachfolgenden, mit Urteil vom 20. Mai 2022 seinen Abschluss findenden Beschwerdeverfahrens erwähnt hatte, ist der vorgebrachte Grund für den angeblichen Kontaktabbruch als blosse Schutzbehauptung zu qualifizieren. Seine in der Rechtsmitteleingabe vorgebrachten Bedenken in Bezug auf die inzwischen in wirtschaftlicher Hinsicht stark veränderte Situation in Sri Lanka vermögen an der zu bejahenden Möglichkeit der Wiedereingliederung grundsätzlich nichts zu ändern. Dem Beschwerdeführer dürfte es demnach mit seinen erworbenen Kenntnissen und dem familiären Beziehungsnetz trotz der wirtschaftlich schwierigen Lage in Sri Lanka und der langen Aufenthaltsdauer im Ausland insgesamt möglich sein, sich dort wieder einzugliedern und wirtschaftlich Fuss zu fassen.</w:t>
      </w:r>
    </w:p>
    <w:p>
      <w:r>
        <w:rPr>
          <w:b/>
        </w:rPr>
        <w:t>E. 6</w:t>
      </w:r>
    </w:p>
    <w:p>
      <w:r>
        <w:t>Beim Beschwerdeführer ist zusammengefasst zwar in sprachlicher und sozialer, nicht jedoch in beruflicher Hinsicht von einer gelungenen Integration auszugehen. Zudem deutet in Anbetracht der übrigen Kriterien von Art. 31 Abs. 1 VZAE, wie insbesondere der familiären Verhältnisse in der Schweiz, des Gesundheitszustands, der - wenn auch langen - Dauer seiner Anwesenheit in der Schweiz und der Möglichkeiten für seine Wiedereingliederung in Sri Lanka, nichts auf einen schwerwiegenden persönlichen Härtefall hin. Schliesslich ist auch das Verhalten des Beschwerdeführers in der Schweiz nicht als klaglos zu bezeichnen.</w:t>
      </w:r>
    </w:p>
    <w:p>
      <w:r>
        <w:rPr>
          <w:b/>
        </w:rPr>
        <w:t>E. 7</w:t>
      </w:r>
    </w:p>
    <w:p>
      <w:r>
        <w:t>Juli 2020 E. 4.3; F-6099/2016 vom 5. Oktober 2019 E. 4).</w:t>
      </w:r>
    </w:p>
    <w:p>
      <w:r>
        <w:t>F-4213/2023 Seite 6 4. 4.1 Der Beschwerdeführer hält sich seit Einleitung des zwischenzeitlich ab- geschlossenen Asylverfahrens und dem Abschluss mehrerer Folgegesu- che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 5 f.)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 4.2 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 tegrationskriterien nach Art. 58a Abs. 1 AIG (Bst. a), die Familienverhält- 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4.3 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 4.4 Die Anerkennung als Härtefall setzt nicht zwingend voraus, dass die Anwesenheit in der Schweiz das einzige Mittel zur Verhinderung einer per- sönlichen Notlage darstellt. Es genügt indessen auch nicht, wenn sich die</w:t>
      </w:r>
    </w:p>
    <w:p>
      <w:r>
        <w:t>F-4213/2023 Seite 7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 gerung verlängert worden sein (vgl. Urteil des BVGer F-3806/2021 vom</w:t>
      </w:r>
    </w:p>
    <w:p>
      <w:r>
        <w:rPr>
          <w:b/>
        </w:rPr>
        <w:t>E. 8</w:t>
      </w:r>
    </w:p>
    <w:p>
      <w:r>
        <w:t>Bei diesem Ausgang des Verfahrens sind die Kosten dem Beschwerde- führer aufzuerlegen (vgl. Art. 63 Abs. 1 VwVG) und auf insgesamt Fr. 1000.– festzusetzen (Art. 1-3 des Reglements vom 21. Februar 2008</w:t>
      </w:r>
    </w:p>
    <w:p>
      <w:r>
        <w:t>F-4213/2023 Seite 12 über die Kosten und Entschädigungen vor dem Bundesverwaltungsgericht [VGKE, SR 173.320.2]). Der am 9. Oktober 2023 in der gleichen Höhe ge- leistete Kostenvorschuss ist zur Bezahlung der Verfahrenskosten zu ver- wenden. (Dispositiv nächste Seite)</w:t>
      </w:r>
    </w:p>
    <w:p>
      <w:r>
        <w:t>F-4213/2023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