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F-420/2024 vom 6. März 2026</w:t>
      </w:r>
    </w:p>
    <w:p>
      <w:r>
        <w:t>Bundesverwaltungsgericht, 2026-03-06, FR</w:t>
      </w:r>
    </w:p>
    <w:p>
      <w:r>
        <w:rPr>
          <w:b/>
        </w:rPr>
        <w:t xml:space="preserve">Quelle: </w:t>
      </w:r>
      <w:r>
        <w:t>https://mcp.opencaselaw.ch/entscheid/bvger_F-420_2024</w:t>
      </w:r>
    </w:p>
    <w:p>
      <w:r>
        <w:t>FR: TAF F-420/2024 du 6 mars 2026</w:t>
      </w:r>
    </w:p>
    <w:p>
      <w:r>
        <w:t>IT: TAF F-420/2024 del 6 marzo 2026</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w:t>
      </w:r>
    </w:p>
    <w:p>
      <w:r>
        <w:rPr>
          <w:b/>
        </w:rPr>
        <w:t>E. 3.1</w:t>
      </w:r>
    </w:p>
    <w:p>
      <w:r>
        <w:t>La notion d'interdiction d'entrée est réglementée à l'art. 67 LEI. Dans ce contexte, il sied de relever que les alinéas 1 et 2 de cette disposition ont connu une modification entrée en vigueur le 22 novembre 2022. En l'espèce, c'est toutefois l'ancien droit qui s'applique, dès lors que la décision attaquée a été prononcée en septembre 2021 (cf. arrêts du TAF F-4679/2022 du 3 novembre 2023 consid. 4 et F-5706/2022 du 28 juillet 2023 consid. 5.1.1). Toute citation de l'art. 67 al. 1 et 2 LEI ci-dessous se réfère par conséquent à la version dudit article dans sa version en vigueur au jour du prononcé de la décision attaquée, soit le 22 septembre 2021.</w:t>
      </w:r>
    </w:p>
    <w:p>
      <w:r>
        <w:rPr>
          <w:b/>
        </w:rPr>
        <w:t>E. 3.2</w:t>
      </w:r>
    </w:p>
    <w:p>
      <w:r>
        <w:t>En outre, force est de relever que le règlement du Système d'information Schengen a été révisé le 6 mars 2023. En effet, le règlement (CE) n° 1987/2006 du Parlement européen et du Conseil du 20 décembre 2006 sur l'établissement, le fonctionnement et l'utilisation du système d'information Schengen de deuxième génération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 En l'espèce, l'inscription au SIS II est intervenue le 22 septembre 2021,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w:t>
      </w:r>
    </w:p>
    <w:p>
      <w:r>
        <w:rPr>
          <w:b/>
        </w:rPr>
        <w:t>E. 3.3</w:t>
      </w:r>
    </w:p>
    <w:p>
      <w:r>
        <w:t>Cela étant, le Tribunal continuera, par souci de clarté, à utiliser l'ancienne dénomination « règlement SIS II ».</w:t>
      </w:r>
    </w:p>
    <w:p>
      <w:r>
        <w:rPr>
          <w:b/>
        </w:rPr>
        <w:t>E. 4.1</w:t>
      </w:r>
    </w:p>
    <w:p>
      <w:r>
        <w:t>Aux termes de l'art. 67 al. 2 let. a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 après : Message LEtr], FF 2002 3469, 3564). En vertu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w:t>
      </w:r>
    </w:p>
    <w:p>
      <w:r>
        <w:rPr>
          <w:b/>
        </w:rPr>
        <w:t>E. 4.3</w:t>
      </w:r>
    </w:p>
    <w:p>
      <w:r>
        <w:t>L'autorité compétente examine selon sa libre appréciation si une interdiction d'entrée doit être prononcée. Elle doit alors procéder à une pondération méticuleuse de l'ensemble des intérêts en présence et respecter le principe de la proportionnalité (ATF 139 II 121 consid. 6.5.1 ; ATAF 2017 VII/2 consid. 4.5 ; arrêt du TAF F 6637/2024 du 11 juillet 2025 consid. 3.4).</w:t>
      </w:r>
    </w:p>
    <w:p>
      <w:r>
        <w:rPr>
          <w:b/>
        </w:rPr>
        <w:t>E. 4.4</w:t>
      </w:r>
    </w:p>
    <w:p>
      <w:r>
        <w:t>L'interdiction d'entrée au sens du droit des étrangers vise à empêcher l'entrée ou le retour d'un étranger dont le séjour en Suisse est indésirable (cf. arrêt du Tribunal fédéral 6B_173/2013 du 19 août 2013 consid. 2.3). Elle n'est pas considérée comme une peine sanctionnant un comportement déterminé, mais comme une mesure administrative ayant pour but de prévenir une atteinte à la sécurité et à l'ordre publics (ATAF 2017 VII/2 consid. 4.4 et 6.4).</w:t>
      </w:r>
    </w:p>
    <w:p>
      <w:r>
        <w:rPr>
          <w:b/>
        </w:rPr>
        <w:t>E. 4.5</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F-80/2020 du 31 mai 2021 consid. 6.3 et jurisprudence citée).</w:t>
      </w:r>
    </w:p>
    <w:p>
      <w:r>
        <w:rPr>
          <w:b/>
        </w:rPr>
        <w:t>E. 5.1</w:t>
      </w:r>
    </w:p>
    <w:p>
      <w:r>
        <w:t>Dans la décision querellée, le SEM a retenu que A._______ avait été condamné, le 26 mai 2021, par le Ministère public de l'arrondissement de Lausanne à 40 jours de peine privative de liberté pour entrée et séjour illégaux, ainsi que par le Tribunal de police de Lausanne, le 18 juillet 2021, à trois mois de peine privative de liberté pour délit contre la LStup ainsi qu'entrée et séjour illégaux. L'autorité inférieure a également souligné que l'intéressé avait déjà fait l'objet d'une mesure d'interdiction en Suisse, qu'il n'a jamais respectée. Tenant compte de ces infractions, le SEM a alors considéré que l'application de l'art. 67 al. 2 let. a LEI se justifiait pleinement et qu'aucun intérêt privé n'était susceptible de l'emporter sur l'intérêt public au maintien de l'ordre et de la sécurité publics dans l'espace Schengen.</w:t>
      </w:r>
    </w:p>
    <w:p>
      <w:r>
        <w:rPr>
          <w:b/>
        </w:rPr>
        <w:t>E. 5.2</w:t>
      </w:r>
    </w:p>
    <w:p>
      <w:r>
        <w:t>A l'appui de son recours, l'intéressé a argué être au bénéfice d'un titre de séjour italien, en cours de renouvellement, et qu'à ce titre, une interdiction s'étendant à l'espace Schengen devait être levée et son inscription au SIS II supprimée. Il a, en outre, fait valoir que les infractions pour lesquelles il avait été condamné n'avaient pas entrainé des peines dépassant trois mois de peine privative de liberté et qu'il ne représentait dès lors pas un danger pour l'ordre et la sécurité publics au sens de l'art. 67 al. 1 let. a LEI. A cet égard, il a également souligné ne pas avoir fait l'objet d'une expulsion pénale à la suite de ces condamnations.</w:t>
      </w:r>
    </w:p>
    <w:p>
      <w:r>
        <w:rPr>
          <w:b/>
        </w:rPr>
        <w:t>E. 5.3</w:t>
      </w:r>
    </w:p>
    <w:p>
      <w:r>
        <w:t>Par sa réponse, l'autorité intimée a souligné que l'intéressé a été pénalement condamné à trois reprises, ce qui en soi suffisait à justifier une interdiction d'entrée sur le territoire au sens de l'art. 67 LEI. En outre, le SEM a mis en avant le fait que le recourant a uniquement présenté une copie d'un titre de séjour italien échu, et qu'ainsi, au moment de son arrestation, il n'avait pas été en mesure de légitimer son entrée et son séjour en Suisse. En ce qui concerne le signalement dans le SIS II, le SEM a relevé que, en l'absence d'un titre de séjour italien valable, l'intéressé n'était pas fondé de se prévaloir d'un droit de libre circulation dans l'espace Schengen. Le cas échéant, il appartiendrait à l'Italie de demander la suppression de son inscription.</w:t>
      </w:r>
    </w:p>
    <w:p>
      <w:r>
        <w:rPr>
          <w:b/>
        </w:rPr>
        <w:t>E. 6.1</w:t>
      </w:r>
    </w:p>
    <w:p>
      <w:r>
        <w:t>Dans un premier temps, il convient d'examiner si le principe du prononcé d'une interdiction d'entrée en Suisse et au Lichtenstein à l'endroit du recourant se justifie.</w:t>
      </w:r>
    </w:p>
    <w:p>
      <w:r>
        <w:rPr>
          <w:b/>
        </w:rPr>
        <w:t>E. 6.2</w:t>
      </w:r>
    </w:p>
    <w:p>
      <w:r>
        <w:t>Le Tribunal rappelle qu'il existe deux régimes juridiques différents concernant le prononcé des interdictions d'entrée, selon que l'intéressé est ressortissant d'un Etat de l'Union européenne ou d'un Etat tiers. En l'occurrence, le recourant est un ressortissant de Gambie soit originaire d'un Etat tiers, de sorte que le prononcé querellé s'examine à l'aune de la LEI, les dispositions de l'ALCP n'étant pas applicables au cas d'espèce. Par ailleurs, selon le Tribunal fédéral, un étranger ressortissant d'un pays tiers n'a pas besoin d'avoir porté atteinte de manière grave à l'ordre et la sécurité publics avant de pouvoir se voir interdire d'entrée en Suisse sur la base du seul art. 67 LEI (cf. ATF 139 II 121 consid. 5).</w:t>
      </w:r>
    </w:p>
    <w:p>
      <w:r>
        <w:rPr>
          <w:b/>
        </w:rPr>
        <w:t>E. 6.3</w:t>
      </w:r>
    </w:p>
    <w:p>
      <w:r>
        <w:t>En l'espèce, il ressort du dossier que le recourant a été condamné à plusieurs reprises lors de son séjour en Suisse, tant pour des infractions à la LStup qu'à la LEI (cf. supra consid. 5.1). Ces condamnations ne sont pas remises en cause par ce dernier, qui minimise cependant leur impact en affirmant qu'elles ne permettraient pas de caractériser une atteinte à l'ordre public. Force est toutefois de rappeler que les infractions pour lesquelles ce dernier a été condamné sont constitutives d'une atteinte à la sécurité publique. Il est également important de souligner que l'intéressé avait déjà fait l'objet d'une interdiction d'entrée en 2017 valable trois ans pour tentative d'entrée en Suisse sans autorisation de séjour ou visa valable (cf. pce SEM 4). Il faisait alors déjà l'objet de mandats d'arrêts pour des infractions à la LStup (cf. pce SEM 6, p.27). Cela étant, depuis le prononcé de la première interdiction d'entrée dont il a fait l'objet, l'intéressé a une fois encore enfreint tant la LEI que la LStup. En agissant de la sorte, il a démontré ne pas être en mesure de se conformer aux prescriptions de la sécurité et l'ordre juridique suisse (cf. supra consid. 4.2).</w:t>
      </w:r>
    </w:p>
    <w:p>
      <w:r>
        <w:rPr>
          <w:b/>
        </w:rPr>
        <w:t>E. 6.4</w:t>
      </w:r>
    </w:p>
    <w:p>
      <w:r>
        <w:t>A ce stade, il s'impose donc de retenir que l'intéressé, par son comportement mis à jour en Suisse, a indiscutablement attenté à la sécurité et à l'ordre publics, au surplus à plusieurs reprises, de sorte qu'il remplit les conditions d'application de l'art. 67 al. 2 let. a LEI. La mesure d'interdiction d'entrée prononcée le 22 septembre 2021 est partant justifiée dans son principe.</w:t>
      </w:r>
    </w:p>
    <w:p>
      <w:r>
        <w:rPr>
          <w:b/>
        </w:rPr>
        <w:t>E. 7</w:t>
      </w:r>
    </w:p>
    <w:p>
      <w:r>
        <w:t>Il convient désormais de vérifier si la durée de la mesure d'éloignement précitée est conforme au principe de la proportionnalité.</w:t>
      </w:r>
    </w:p>
    <w:p>
      <w:r>
        <w:rPr>
          <w:b/>
        </w:rPr>
        <w:t>E. 7.1</w:t>
      </w:r>
    </w:p>
    <w:p>
      <w:r>
        <w:t>Toute mesure d'éloignement doit respecter ce principe, qui s'impose en droit interne (art. 5 al. 2 et 36 al. 3 Cst. et art. 96 LEI).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et les réf. citées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2C_549/2024 du 26 février 2025 consid. 7.1).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7.2</w:t>
      </w:r>
    </w:p>
    <w:p>
      <w:r>
        <w:t>Concernant les règles de l'aptitude et de la nécessité, l'éloignement du territoire suisse du recourant pendant une durée prolongée est apte et nécessaire pour atteindre le but visé, à savoir protéger l'ordre et la sécurité publics. En fixant la durée de l'interdiction à cinq ans, l'autorité intimée est demeurée dans le cadre de l'art. 67 al. 3 LEI, qui, pour un ressortissant d'un Etat tiers (cf. supra, consid. 6.2), suppose que celui-ci ait attenté à la sécurité et l'ordre publics en Suisse ou à l'étranger ou qu'il les ait mis en danger (cf. ATF 139 II 121 consid. 6.1). S'agissant de l'intérêt public à l'éloignement du recourant, le comportement délictuel de celui-ci doit être considéré comme grave, tant par la nature des infractions en cause que par la multiplicité des délits commis. En effet, le Tribunal rappelle les différentes condamnations pénales dont le recourant a fait l'objet entre décembre 2016 et juillet 2021, fondées notamment sur la LStup et la LEI, qui ont contraint les autorités à le sanctionner afin de préserver l'ordre et la sécurité publique (cf. notamment, arrêt TAF F-7152/2023 du 19 mai 2025 consid. 5.5). En outre, il ressort du dossier que le recourant ne s'est pas opposé à ses condamnations, admettant ainsi les faits qui lui étaient reprochés (cf. pce TAF 1). Dès lors, l'intérêt public à son éloignement doit être qualifié d'important. Quant à ses intérêts privés, l'intéressé n'a pas invoqué de lien personnel particulier avec la Suisse. Partant, il y a lieu de retenir que la mesure d'éloignement est conforme au principe de proportionnalité, dans sa durée notamment.</w:t>
      </w:r>
    </w:p>
    <w:p>
      <w:r>
        <w:rPr>
          <w:b/>
        </w:rPr>
        <w:t>E. 8</w:t>
      </w:r>
    </w:p>
    <w:p>
      <w:r>
        <w:t>Il reste à examiner la validité de l'inscription de l'interdiction d'entrée dans le SIS II ordonnée par le SEM.</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[Règlement (UE) 2016/399 du Parlement européen et du Conseil du 9 mars 2016 concernant un code de l'Union relatif au régime de franchissement des frontières par les personnes, JO L 77 du 23 mars 2016]).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8.2</w:t>
      </w:r>
    </w:p>
    <w:p>
      <w:r>
        <w:t>En l'espèce, le recourant a affirmé être au bénéfice d'un titre de séjour italien (cf pce TAF 1, annexe 4). Toutefois, tant lors de ses arrestations par la police qu'au cours de la procédure de recours, celui-ci n'a produit qu'une copie dudit titre avec une échéance au 20 juillet 2023. A cet égard, il a certes invoqué avoir engagé les mesures nécessaires en vue du renouvellement de ce document (cf. pce TAF 1). Cependant, l'intéressé n'a, à ce jour, toujours pas produit de titre de séjour italien renouvelé, malgré la possibilité donnée par le TAF de le soumettre dès qu'il serait en sa possession (cf. pce TAF 10, p. 6). Dans ces conditions, rien ne permet de considérer que l'intéressé soit actuellement au bénéfice d'un titre de séjour en Italie. L'autorité intimée a également précisé, dans ses observations du 21 mai 2024, que, dans le cas d'un signalement au SIS II, l'Etat membre qui envisage de délivrer ou de renouveler un titre de séjour à un ressortissant d'un État tiers faisant l'objet d'un signalement est tenu de consulter l'État à l'origine du signalement et de l'informer de son intention de prolonger le titre de séjour. A la suite de cette communication, c'est à l'Etat signalant de décider s'il souhaite modifier, compléter, rectifier ou mettre à jour les données inscrites (cf. pce TAF 11). Dans le cas d'espèce, l'Italie n'a pas contacté la Suisse à ce jour à propos d'une potentielle intention de renouveler l'autorisation de séjour de l'intéressé.</w:t>
      </w:r>
    </w:p>
    <w:p>
      <w:r>
        <w:rPr>
          <w:b/>
        </w:rPr>
        <w:t>E. 8.3</w:t>
      </w:r>
    </w:p>
    <w:p>
      <w:r>
        <w:t>Cela étant, le recourant n'ayant pas produit d'autorisation de séjour en cours de validité, il ne peut s'en prévaloir pour contester le signalement au SIS II. Force est donc de constater que l'inscription de ses données est justifiée par les faits retenus et satisfait au principe de la proportionnalité pour les mêmes motifs que ceux retenus au consid. 7 ci-avant (cf. art. 21 en relation avec l'art. 24 al. 2 du règlement SIS II). Elle l'est d'autant plus que la Suisse, dans le champ d'application des règles de Schengen, se doit de préserver les intérêts de tous les Etats parties aux Accords d'association à Schengen (ATAF 2011/48 consid. 6.1).</w:t>
      </w:r>
    </w:p>
    <w:p>
      <w:r>
        <w:rPr>
          <w:b/>
        </w:rPr>
        <w:t>E. 9</w:t>
      </w:r>
    </w:p>
    <w:p>
      <w:r>
        <w:t>Il ressort de ce qui précède que, par sa décision du 22 septembre 2021, l'autorité inférieure n'a ni violé le droit fédéral, ni constaté des faits pertinents de manière inexacte ou incomplète ; en outre, cette décision n'est pas inopportune (art. 49 PA). Partant, le recours est rejeté.</w:t>
      </w:r>
    </w:p>
    <w:p>
      <w:r>
        <w:rPr>
          <w:b/>
        </w:rPr>
        <w:t>E. 10</w:t>
      </w:r>
    </w:p>
    <w:p>
      <w:r>
        <w:t>Le recourant étant indigent et les conclusions du recours ne pouvant être considérées comme d'emblée vouées à l'échec au moment du dépôt de la requête d'assistance judiciaire partielle contenue dans le recours, cette dernière doit être admise (cf. art. 65 al. 1 PA). Partant,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