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F-4205/2024 vom 22. Mai 2024</w:t>
      </w:r>
    </w:p>
    <w:p>
      <w:r>
        <w:t>Bundesverwaltungsgericht, 2024-05-22, DE</w:t>
      </w:r>
    </w:p>
    <w:p>
      <w:r>
        <w:rPr>
          <w:b/>
        </w:rPr>
        <w:t xml:space="preserve">Quelle: </w:t>
      </w:r>
      <w:r>
        <w:t>https://mcp.opencaselaw.ch/entscheid/bvger_F-4205_2024_d20240522</w:t>
      </w:r>
    </w:p>
    <w:p>
      <w:r>
        <w:t>FR: TAF F-4205/2024 du 22 mai 2024</w:t>
      </w:r>
    </w:p>
    <w:p>
      <w:r>
        <w:t>IT: TAF F-4205/2024 del 22 maggio 2024</w:t>
      </w:r>
    </w:p>
    <w:p>
      <w:pPr>
        <w:pStyle w:val="Heading2"/>
      </w:pPr>
      <w:r>
        <w:t>Regeste</w:t>
      </w:r>
    </w:p>
    <w:p>
      <w:r>
        <w:t>Nationales Visum | Nationales Visum aus humanitären Gründen; Verfügung des SEM vom 22. Mai 2024</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einzutreten ist (Art. 50 Abs. 1 VwVG und Art. 52 Abs. 1 VwVG).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w:t>
      </w:r>
    </w:p>
    <w:p>
      <w:r>
        <w:t>F-4205/2024 Seite 4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Das Visumsgesuch ist unter Berücksichtigung der aktuellen Gefährdung, der persönlichen Um- stände der betroffenen Person und der Lage im Heimat- oder Herkunfts- land zu prüfen (vgl. BVGE 2018 VII/5 E. 3.6.3; Urteil des BVGer F-2470/2022 vom 29. November 2023 E. 3.2).</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w:t>
      </w:r>
    </w:p>
    <w:p>
      <w:r>
        <w:rPr>
          <w:b/>
        </w:rPr>
        <w:t>E. 3.5</w:t>
      </w:r>
    </w:p>
    <w:p>
      <w:r>
        <w:t>Des Weiteren bestehen im nationalen humanitären Visumverfahren nach Art. 4 Abs. 2 VEV i.V.m. Art. 5 Abs. 3 AIG im Vergleich zum Asylver- fahren erhöhte Anforderungen an das Beweismass: Eine Glaubhaftma- chung (vgl. Art. 7 AsylG) reicht nicht aus. Beweismässig genügt es also nicht, wenn die gesuchstellende Person ihre Gefährdung substantiiert, in sich schlüssig und plausibel vorträgt, sodass sie mit überwiegender Wahr- scheinlichkeit gegeben scheint. Vielmehr ist der volle Beweis zu erbringen (zum Ganzen Urteil des BVGer F-1077/2022 E. 5 [zur Publikation vorgese- hen]).</w:t>
      </w:r>
    </w:p>
    <w:p>
      <w:r>
        <w:rPr>
          <w:b/>
        </w:rPr>
        <w:t>E. 4.1</w:t>
      </w:r>
    </w:p>
    <w:p>
      <w:r>
        <w:t>Strittig ist, ob die in Pakistan befindlichen Beschwerdeführenden in ih- rem Heimatland Afghanistan offensichtlich einer unmittelbaren, ernsthaften und konkreten Gefahr an Leib und Leben im Sinn von Art. 4 Abs. 2 VEV ausgesetzt wären, wenn sie nach Afghanistan zurückgeführt würden.</w:t>
      </w:r>
    </w:p>
    <w:p>
      <w:r>
        <w:t>F-4205/2024 Seite 5</w:t>
      </w:r>
    </w:p>
    <w:p>
      <w:r>
        <w:rPr>
          <w:b/>
        </w:rPr>
        <w:t>E. 4.2</w:t>
      </w:r>
    </w:p>
    <w:p>
      <w:r>
        <w:t>In der angefochtenen Verfügung macht die Vorinstanz geltend, es be- stünden Zweifel, ob der Beschwerdeführer 1 wirklich als Staatsanwalt tätig gewesen sei. Die geltend gemachte Karriere sei zu wenig belegt und es seien keine Arbeitsverträge, Einstellungsurkunden oder Beförderungsdo- kumente eingereicht worden. Die Schilderungen im Fragebogen der Schweizerischen Botschaft zu den geltend gemachten Verfolgungen wür- den sodann unsubstantiiert und oberflächlich ausfallen. Der Beweiswert des eingereichten Drohbriefs der Taliban vom (…) 2020, wo dem Be- schwerdeführer 1 mit dem Tod gedroht werde, falls er seine Tätigkeit als Staatsanwalt nicht beenden würde, sei weiter gering. Es sei bekannt, dass in Afghanistan ein Markt für Fälschungen bestehe. Zudem habe der Be- schwerdeführer 1 seine Tätigkeit als Staatsanwalt inzwischen ohnehin auf- gegeben.</w:t>
      </w:r>
    </w:p>
    <w:p>
      <w:r>
        <w:rPr>
          <w:b/>
        </w:rPr>
        <w:t>E. 4.3</w:t>
      </w:r>
    </w:p>
    <w:p>
      <w:r>
        <w:t>Den vorinstanzlichen Erwägungen ist entgegenzuhalten, dass der Be- schwerdeführer 1 bereits im Verfahren vor der Auslandvertretung die Kopie einer Urkunde eingereicht hat, mit der er zum Staatsanwalt der militärstraf- rechtlichen Abteilung des Obersten Gerichtshofs von Afghanistan ernannt wurde (vgl. SEM-act. 6, pag. 215). Zu seiner beruflichen Tätigkeit geht aus den Eingaben hervor, dass er von 2011 bis 2021 in verschiedenen Funkti- onen für die Militärstaatsanwaltschaft tätig war. In der Replik vom 16. De- zember 2024 werden folgende fünf Aufgabenbereiche aufgelistet: Mitglied der Abteilung für kriminalpolizeiliche Ermittlungen, stellvertretender Leiter der Abteilung für kriminalpolizeiliche Ermittlungen und stellvertretender Lei- ter betreffend Kriegsrecht und Menschenrechte, Staatsanwalt des erstin- stanzlichen Militärgerichts, Staatsanwalt des Militärberufungsgerichts und Staatsanwalt der militärstrafrechtlichen Abteilung des Obersten Gerichts- hofs. In der Einsprache bringt der Beschwerdeführer 1 vor, er habe wäh- rend zwölf Jahren gegen Mörder, Terroristen und die Drogenmafia ge- kämpft und er sei direkt an der Verhaftung von Kriminellen beteiligt gewe- sen und habe dem Gericht deren Bestrafung beantragt. Insbesondere sei es um die Durchsetzung von Waffengesetzen gegangen. Nach der Macht- übernahme aus dem Gefängnis entlassene Taliban, an deren Verurteilung er beteiligt gewesen sei, würden versuchen, ihn verhaften zu lassen. In einem Empfehlungsschreiben der «Afghanistan Prosecutors Association» vom (…) 2024 wird weiter angegeben, der Beschwerdeführer 1 sei Mitglied der Generalstaatsanwaltschaft («Attorney General’s Office of Afghanis- tan») gewesen. Mit Replik vom 16. Dezember 2024 wurde sodann ein den Beschwerdeführer 1 betreffendes Schreiben der «International Association of Prosecutors» eingereicht, wo dieser als Mitglied der afghanischen Ge- neralstaatsanwaltschaft «und/oder» als Mitglied der «Afghanistan</w:t>
      </w:r>
    </w:p>
    <w:p>
      <w:r>
        <w:t>F-4205/2024 Seite 6 Association of Prosecutors» bezeichnet wird. Auf Beschwerdeebene bringt der Beschwerdeführer 1 zudem vor, während seines Dienstes in der afgha- nischen Nationalarmee habe er nationale Gesetze und internationale Ver- träge durchgesetzt, darunter insbesondere die Genfer Konventionen. Schliesslich sind den Akten verschiedene Kursbestätigungen und Zertifi- kate zu entnehmen, die dem Beschwerdeführer 1 die Teilnahme an Wei- terbildungen im Militärstrafrecht attestieren. Die Beschreibung seiner Lauf- bahn und Tätigkeit fällt hingegen in den Eingaben wenig detailreich aus. So bleiben die wichtigsten Eckdaten und Stationen seiner beruflichen Lauf- bahn ungenannt und die Fälle, in die er als Staatsanwalt involviert war, werden nur sehr oberflächlich beschrieben. Vor diesem Hintergrund sind die von der Vorinstanz angebrachten Zweifel an der geltend gemachten Tätigkeit berechtigt.</w:t>
      </w:r>
    </w:p>
    <w:p>
      <w:r>
        <w:rPr>
          <w:b/>
        </w:rPr>
        <w:t>E. 4.4</w:t>
      </w:r>
    </w:p>
    <w:p>
      <w:r>
        <w:t>Selbst falls feststehen sollte, dass der Beschwerdeführer 1 für die Mili- tärstaatsanwaltschaft tätig war, ist weder substantiiert dargelegt noch er- sichtlich, inwiefern er aufgrund dieser Tätigkeit in Afghanistan besonders exponiert und dadurch einem erhöhten Verfolgungsrisiko ausgesetzt wäre. So bringt der Beschwerdeführer 1 nicht vor, dass sich seine Tätigkeit ge- zielt gegen Talibanangehörige gerichtet hätte. Dies liegt auch nicht auf der Hand, zumal er als Angehöriger der Militärjustiz in erster Linie für die Ver- folgung von Straftaten von Armeeangehörigen zuständig gewesen sein dürfte. Damit ist der vorliegende Fall auch nicht vergleichbar mit jenem, der dem Urteil des BVGer F-3406/2022 vom 24. August 2023 zugrunde lag. Dort handelte es sich um einen Staatsanwalt, der gezielt im Bereich von terroristischen Verbrechen ermittelte und zahlreiche Strafverfahren gegen Taliban geführt hatte. Gegen eine besondere Exponiertheit des Beschwer- deführers 1 sprechen insbesondere auch die Umstände nach der Macht- übernahme durch die Taliban. So macht dieser zunächst geltend, dass un- mittelbar nach der Machtübernahme der Taliban im August 2021 bei ihm zuhause eine Hausdurchsuchung durchgeführt worden sei. Dennoch hielt sich der Beschwerdeführer 1 mit seiner Familie bis am (…) 2022 in Afgha- nistan auf, wobei den Akten diesbezüglich keine näheren Angaben zu ent- nehmen sind. Am (…) 2022 liess sich der Beschwerdeführer 1 sodann für seinen jüngsten Sohn, den Beschwerdeführer 6, in Kabul einen Pass aus- stellen. Das dadurch an den Tag gelegte Risikoverhalten erscheint ange- sichts der geltend gemachten Gefährdung an Leib und Leben – auch unter Berücksichtigung der Ausführungen auf Beschwerdeebene, wonach Neu- geborene unter einem Jahr biometrisch nicht erfasst würden und der Pass durch Vermittlung des Bruders erlangt worden sei – nicht nachvollziehbar.</w:t>
      </w:r>
    </w:p>
    <w:p>
      <w:r>
        <w:t>F-4205/2024 Seite 7 Dies gilt umso mehr, als der Beschwerdeführer 1 behauptet, von den Tali- ban bereits vor deren Machtübernahme gezielt bedroht worden zu sein.</w:t>
      </w:r>
    </w:p>
    <w:p>
      <w:r>
        <w:rPr>
          <w:b/>
        </w:rPr>
        <w:t>E. 4.5</w:t>
      </w:r>
    </w:p>
    <w:p>
      <w:r>
        <w:t>Für den Nachweis der geltend gemachten Bedrohung durch die Taliban reichte der Beschwerdeführer 1 unter anderem einen Haftbefehl vom (…) 2024 ein. Dieses von einer Abteilung für Aufklärung und Geheimdienst stammende und an eine Abteilung für allgemeinen Geheimdienst gerich- tete Schriftstück wurde lediglich in Kopie eingereicht, womit es auf seine Echtheit hin nicht überprüfbar ist. Zum Nachweis einer unmittelbaren, ernsthaften und konkreten Gefährdung des Beschwerdeführers 1 seitens der Taliban kann ihm jedenfalls nur ein geringer Beweiswert beigemessen werden. So ist zunächst nicht nachvollziehbar, wie der Beschwerdeführer 1 in den Besitz des Haftbefehls gekommen sein soll, handelt es sich doch – bei Annahme der Authentizität – um ein internes Dokument des afghani- schen Geheimdiensts. Sodann hat der Beschwerdeführer 1 den Haftbefehl erst zusammen mit seiner Einsprache vom 17. April 2024 eingereicht, wo- bei nicht erklärt wird, weshalb dieser nicht bereits früher eingereicht werden konnte. Schliesslich ist der Haftbefehl auf Dari abgefasst, was vor dem Hin- tergrund, dass es sich insbesondere bei ranghöheren Taliban ethnisch ge- sehen überwiegend um Paschtunen handelt, ungewöhnlich erscheint.</w:t>
      </w:r>
    </w:p>
    <w:p>
      <w:r>
        <w:rPr>
          <w:b/>
        </w:rPr>
        <w:t>E. 4.6</w:t>
      </w:r>
    </w:p>
    <w:p>
      <w:r>
        <w:t>Sodann wirken auch die vom Beschwerdeführer 1 auf Beschwerde- ebene vorgebrachten Verfolgungsszenarien wenig glaubhaft. So sei sein Haus dreimal von den Taliban aufgesucht worden, wobei es diesen jedoch nicht gelungen sei, ihn zu verhaften. Zu einer Aufsuchung direkt nach der Machtübernahme bringt der Beschwerdeführer 1 vor, er habe sich im Nach- barhaus versteckt gehalten, während sein Vater von den Taliban über sei- nen Verbleib befragt worden sei. Die Beschreibungen sind sehr kurzgehal- ten und können deshalb auch nicht auf ihre Plausibilität hin überprüft wer- den. Auch aus der erst im Einspracheverfahren eingereichten Vorladung vom (…) 2024 kann nicht auf eine individuelle Verfolgung geschlossen wer- den, da der Grund für die Vorladung aus derselben nicht hervorgeht.</w:t>
      </w:r>
    </w:p>
    <w:p>
      <w:r>
        <w:rPr>
          <w:b/>
        </w:rPr>
        <w:t>E. 4.7</w:t>
      </w:r>
    </w:p>
    <w:p>
      <w:r>
        <w:t>In Würdigung der vorliegenden Beweise ist damit nicht erstellt (zum hier anwendbaren Beweismass siehe E. 3.5 hiervor), dass der Beschwer- deführer 1 bei einer Rückkehr nach Afghanistan unmittelbar, ernsthaft und konkret an Leib und Leben gefährdet wäre. Mangels Vorliegens einer ge- zielten Verfolgung des Beschwerdeführers 1 in Afghanistan ist eine daraus abgeleitete Gefährdung der Beschwerdeführenden 2-6 aufgrund des Ver- wandtschaftsverhältnisses zu ihm zu verneinen. Über eine Reflexverfol- gung hinausgehende Verfolgungsmotive werden nicht geltend gemacht</w:t>
      </w:r>
    </w:p>
    <w:p>
      <w:r>
        <w:t>F-4205/2024 Seite 8 und gehen aus den Akten auch nicht hervor. Eine besondere Notsituation im Sinne von Art. 4 Abs. 2 VEV, die ein behördliches Eingreifen zwingend erforderlich machen und die Erteilung von Einreisevisa ausnahmsweise rechtfertigen würde, ist zusammenfassend zu verneinen. Mangels Ent- scheidrelevanz erübrigt es sich, näher auf die Situation der Beschwerde- führenden als afghanische Schutzsuchende in Pakistan einzugehen und zu prüfen, ob diesen eine Abschiebung nach Afghanistan droht.</w:t>
      </w:r>
    </w:p>
    <w:p>
      <w:r>
        <w:rPr>
          <w:b/>
        </w:rPr>
        <w:t>E. 5</w:t>
      </w:r>
    </w:p>
    <w:p>
      <w:r>
        <w:t>Die Vorinstanz hat den Beschwerdeführenden die Visa zu Recht verwei- gert. Die angefochtene Verfügung ist im Lichte von Art. 49 VwVG nicht zu beanstanden und die Beschwerde ist abzuweisen.</w:t>
      </w:r>
    </w:p>
    <w:p>
      <w:r>
        <w:rPr>
          <w:b/>
        </w:rPr>
        <w:t>E. 6</w:t>
      </w:r>
    </w:p>
    <w:p>
      <w:r>
        <w:t>Bei diesem Ausgang des Verfahrens wären die Kosten den Beschwerde- führenden aufzuerlegen (Art. 63 Abs. 1 VwVG). Umständehalber ist jedoch auf die Erhebung von Verfahrenskosten zu verzichten (Art. 63 Abs. 1 VwVG i.V.m. Art. 6 Bst. b des Reglements vom 21. Februar 2008 über die Kosten und Entschädigungen vor dem Bundesverwaltungsgericht [VGKE, SR 173.320.2]).</w:t>
      </w:r>
    </w:p>
    <w:p>
      <w:r>
        <w:t>(Dispositiv nächste Seite)</w:t>
      </w:r>
    </w:p>
    <w:p>
      <w:r>
        <w:t>F-4205/2024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