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F-4188/2017 vom 13. Februar 2018</w:t>
      </w:r>
    </w:p>
    <w:p>
      <w:r>
        <w:t>Bundesverwaltungsgericht, 2018-02-13, DE</w:t>
      </w:r>
    </w:p>
    <w:p>
      <w:r>
        <w:rPr>
          <w:b/>
        </w:rPr>
        <w:t xml:space="preserve">Quelle: </w:t>
      </w:r>
      <w:r>
        <w:t>https://mcp.opencaselaw.ch/entscheid/bvger_F-4188_2017</w:t>
      </w:r>
    </w:p>
    <w:p>
      <w:r>
        <w:t>FR: TAF F-4188/2017 du 13 février 2018</w:t>
      </w:r>
    </w:p>
    <w:p>
      <w:r>
        <w:t>IT: TAF F-4188/2017 del 13 febbraio 2018</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3.2</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bzw.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w:t>
      </w:r>
    </w:p>
    <w:p>
      <w:r>
        <w:rPr>
          <w:b/>
        </w:rPr>
        <w:t>E. 4</w:t>
      </w:r>
    </w:p>
    <w:p>
      <w:r>
        <w:t>Der Beschwerdeführer behauptet, er sei Kurde aus Syrien, gelte in seinem Heimatland als "Maktum (al-Qaid)" (Pl. Maktumin; wörtlich: nicht registrierte Person) und sei daher staatenlos.</w:t>
      </w:r>
    </w:p>
    <w:p>
      <w:r>
        <w:rPr>
          <w:b/>
        </w:rPr>
        <w:t>E. 4.1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(Sg. Ajnabi, wörtlich: Ausländer) bezeichnet werden, und schliesslich staatenlose Kurden, die in keinem staatlichen Register geführt werden, die sogenannten Maktumin al-Qaid. Bereits die Ajanib sind in Bezug auf ihre politischen Rechte, ihre Besitzrechte, ihre Bewegungsfreiheit, ihr Recht auf Bildung und freie Berufswahl vielfältigen Einschränkungen ausgesetzt. Immerhin haben sie neuerdings die Möglichkeit einer Einbürgerung. Die rechtliche Situation der Maktumin ist durch eine noch wesentlich weiter gehende Rechtlosigkeit gekennzeichnet. In vorliegendem Zusammenhang ist von Bedeutung, dass ein Maktum zum Nachweis seiner Identität lediglich eine besondere, für Maktumin bestimmte Bescheinigung des für ihn zuständigen Mukhtars erhalten kann, das sogenannte Erkennungszeugnis ( ), und dass die Ehe eines Maktum unabhängig vom Status seiner Ehefrau nicht eintragungsfähig ist (vgl. dazu etwa Kurdwatch, Bericht 5: Staatenlose Kurden in Syrien - Illegale Eindringlinge oder Opfer nationalistischer Politik?, März 2010, online abrufbar unter www.kurdwatch.org &gt; Berichte, abgerufen am 19. Dezember 2017).</w:t>
      </w:r>
    </w:p>
    <w:p>
      <w:r>
        <w:rPr>
          <w:b/>
        </w:rPr>
        <w:t>E. 4.2</w:t>
      </w:r>
    </w:p>
    <w:p>
      <w:r>
        <w:t>Der Beschwerdeführer reicht als einzigen Beleg für die behauptete Zugehörigkeit zur Gruppe der Maktumin nicht etwa ein für diese Personengruppe vergesehenes Erkennungszeugnis des zuständigen Mukhtars ein, sondern die Kopie eines vom Mukhtar ausgefüllten, für Auszüge aus dem Personenstandsregister vorgesehenen Formulars ( ), das vom 23. Dezember 1999 datiert ist, also zum Zeitpunkt des Asylgesuchs bereits 14 Jahre alt war, und das die Angehörigen der Kernfamilie des Beschwerdeführers in der für die Staatsangehörigkeit vorgesehenen Aussparung sowie in der für das Datum des jeweiligen Registereintrags reservierten Spalte als Maktumin bezeichnet. Wie die Vorinstanz jedoch richtig ausführt, muss dem Dokument angesichts des verbrieften Inhalts, des verwendeten Formulars und des Ausstellers die Beweiskraft abgesprochen werden. Hinsichtlich der Einzelheiten kann auf die zutreffenden Ausführungen der Vorinstanz in der angefochtenen Verfügung verwiesen werden. Hinzuzufügen bleibt, dass der Beschwerdeführer selbst im Rahmen seiner Stellungnahme vom 18. Juli 2016 zuhanden des erstinstanzlichen Verfahrens einräumte, dass es sich nicht um ein "amtlich anerkanntes Dokument" handle. Es sei seinem Vater ausgestellt worden, nachdem ihm sein individueller Ausweis anlässlich einer Kontrolle abgenommen werden sei (SEM-act. C3). Doch selbst wenn man dem Dokument die Beweiskraft nicht ganz absprechen wollte, so ist diese angesichts der von der Vorinstanz hervorgehobenen Elemente sowie der allgemeinen Situation in Syrien stark herabgesetzt (vgl. zur Beweiskraft amtlicher syrischer Dokumente Urteil des BVGer A-2291/2015 vom 17. August 2015 E. 7.1). An dieser Schlussfolgerung vermag der vom Beschwerdeführer auf Rechtsmittelebene erhobene Hinweis auf die uneinheitliche Praxis der lokalen syrischen Behörden und deren unsorgfältige Arbeitsweise, wenn es um Maktumin geht, nichts zu ändern. Auf der anderen Seite deutet eine Reihe von Indizien darauf hin, dass die behauptete Zugehörigkeit zu den Maktumin nicht den Tatsachen entsprechen kann: Zum einen wird der Beschwerdeführer, der sich nach eigenen Angaben in den Jahren 2000 bis 2012 in kurdischen Teil des Iraks aufhielt, sowohl im irakischen Führerausweis als auch im UNCR-Flüchtlingsausweis als Syrer bezeichnet (Dokumente 1 und 4 unter SEM-act. A25). Dass in den beiden in Irak ausgestellten Dokumenten auf das Herkunftsland Bezug genommen wurde, wie der Beschwerdeführer in seiner Rechtsmittelschrift argumentiert, ist nicht überzeugend. Denn die Dokumente stammen von unterschiedlichen Behörden und der darin verwendete arabische Ausdruck djinsiya ( ) bedeutet im vorliegenden Kontext unmissverständlich "Staatsangehörigkeit" oder "Nationalität". Zum anderen bezeichnete sich der Beschwerdeführer auf der Vorderseite des Personalienblatts zum Asylgesuch, das er in Arabisch ausfüllte, als Staatsangehörigen Syriens ( ). Erst auf der in einer europäischen Sprache auszufüllenden Rückseite desselben Dokuments setzte er in der für die Staatsangehörigkeit reservierten Rubrik ein Kreuz ein (SEM-act. A5). Schliesslich wird auf den Entscheid vom 15. April 2015 des Sharia-Richters der syrischen Ortschaft al-Jawadia hingewiesen, mit dem der aussergerichtlich erfolgte Eheschluss des Beschwerdeführers mit seiner Ehefrau, einer Kurdin syrischer Staatsangehörigkeit, bestätigt wurde (Dokument 3 unter SEM-act. B8). Eine solche richterliche Bestätigung setzt jedoch voraus, dass die Eheleute Auszüge aus dem Personenstandsregister beibringen (vgl. Art. 44 des syrischen Personalstatutgesetzes Nr. 59 vom 17. September 1953). Im Dispositiv des Entscheids wird denn auch darauf Bezug genommen, dass der Beschwerdeführer im Register von al-Jamama unter der Nummer C 44 geführt wird ( 44) . Ferner wird der Verwalter des Personenstandsregisters ( ) angewiesen, die Ehe nach der Rechtskraft des Entscheides im Personenstandsregister einzutragen. Die blosse Existenz des Entscheids und dessen Inhalt stehen somit in diametralem Widerspruch zur Behauptung des Beschwerdeführers, er gehöre der Gruppe der Maktumin an.</w:t>
      </w:r>
    </w:p>
    <w:p>
      <w:r>
        <w:rPr>
          <w:b/>
        </w:rPr>
        <w:t>E. 5</w:t>
      </w:r>
    </w:p>
    <w:p>
      <w:r>
        <w:t>Zusammenfassend ist daher weder ausgewiesen noch glaubhaft dargelegt worden, dass der Beschwerdeführer Maktum al-Qaid und als solcher staatenlos ist. Die angefochtene Verfügung, mit der das Gesuch des Beschwerdeführers um Anerkennung der Staatenlosigkeit abgewiesen wurde, ist daher im Lichte von Art. 49 VwVG nicht zu beanstanden und die Beschwerde abzuweisen.</w:t>
      </w:r>
    </w:p>
    <w:p>
      <w:r>
        <w:rPr>
          <w:b/>
        </w:rPr>
        <w:t>E. 6</w:t>
      </w:r>
    </w:p>
    <w:p>
      <w:r>
        <w:t>Bei diesem Ausgang des Verfahrens sind die Verfahrenskosten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