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F-4178/2024 vom 5. Juli 2024</w:t>
      </w:r>
    </w:p>
    <w:p>
      <w:r>
        <w:t>Bundesverwaltungsgericht, 2024-07-05, DE</w:t>
      </w:r>
    </w:p>
    <w:p>
      <w:r>
        <w:rPr>
          <w:b/>
        </w:rPr>
        <w:t xml:space="preserve">Quelle: </w:t>
      </w:r>
      <w:r>
        <w:t>https://mcp.opencaselaw.ch/entscheid/bvger_F-4178_2024</w:t>
      </w:r>
    </w:p>
    <w:p>
      <w:r>
        <w:t>FR: TAF F-4178/2024 du 5 juillet 2024</w:t>
      </w:r>
    </w:p>
    <w:p>
      <w:r>
        <w:t>IT: TAF F-4178/2024 del 5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berührt und hat ein schutzwürdiges Interesse an deren Aufhebung beziehungsweise Änderung. Sie ist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3.2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3.3</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4</w:t>
      </w:r>
    </w:p>
    <w:p>
      <w:r>
        <w:t>Der Abgleich der Fingerabdrücke der Beschwerdeführerin in der Eurodac-Datenbank ergab, dass sie am 30. August 2022 in Frankreich ein Asylgesuch eingereicht hatte. Anlässlich des Dublin-Gesprächs bestätigte sie dies. Nachdem die französischen Behörden dem Wiederaufnahmegesuch der Vorinstanz am 19. Juni 2024 zugestimmt haben, ist die Zuständigkeit Frankreichs somit grundsätzlich gegeben.</w:t>
      </w:r>
    </w:p>
    <w:p>
      <w:r>
        <w:rPr>
          <w:b/>
        </w:rPr>
        <w:t>E. 5.1</w:t>
      </w:r>
    </w:p>
    <w:p>
      <w:r>
        <w:t>Mit Blick auf Art. 3 Abs. 2 Dublin-III-VO wird in der Beschwerde zu Recht nicht geltend gemacht, dass das Asylverfahren in Frankreich systemische Schwachstellen aufweise (Art. 3 Abs. 2 Dublin-III-VO). Unter Hinweis auf die konstante Praxis des Bundesverwaltungsgerichts (vgl. etwa die Urteile des BVGer F-3980/2024 vom 1. Juli 2024, F-3561/2024 vom 13. Juni 2024 E. 5.3, F-1931/2024 vom 18. April 2024 E. 6.2, D-1029/2024 vom 23. Februar 2024 E. 7) erübrigen sich diesbezüglich weitere Erörterungen.</w:t>
      </w:r>
    </w:p>
    <w:p>
      <w:r>
        <w:rPr>
          <w:b/>
        </w:rPr>
        <w:t>E. 5.2</w:t>
      </w:r>
    </w:p>
    <w:p>
      <w:r>
        <w:t>Unter diesen Umständen ist die Anwendung von Art. 3 Abs. 2 Dublin-III-VO nicht gerechtfertigt.</w:t>
      </w:r>
    </w:p>
    <w:p>
      <w:r>
        <w:rPr>
          <w:b/>
        </w:rPr>
        <w:t>E. 6.1</w:t>
      </w:r>
    </w:p>
    <w:p>
      <w:r>
        <w:t>Nachfolgend ist zu prüfen, ob die Vorinstanz das Selbsteintrittsrecht nach Art. 17 Abs. 1 erster Satz Dublin-III-VO, konkretisiert in Art. 29a Abs. 3 AsylV 1, zu Recht nicht ausgeübt hat.</w:t>
      </w:r>
    </w:p>
    <w:p>
      <w:r>
        <w:rPr>
          <w:b/>
        </w:rPr>
        <w:t>E. 6.2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und hat die diesbezüglichen völkerrechtlichen Verpflichtungen zu beachten. Ausserdem wird Frankreich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6.3</w:t>
      </w:r>
    </w:p>
    <w:p>
      <w:r>
        <w:t>Mangels systemischer Mängel im Sinne von Art. 3 Abs. 2 Dublin-III-VO kann vermutungsweise davon ausgegangen werden, dass Frankreich seinen völker- und gemeinschaftsrechtlichen Verpflichtungen gegenüber Personen in der Situation der Beschwerdeführerin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6.3.1</w:t>
      </w:r>
    </w:p>
    <w:p>
      <w:r>
        <w:t>Dies gelingt der Beschwerdeführerin nicht. Allein aus dem Umstand, dass die französischen Asylbehörden ihr Asylgesuch offenbar bereits abgelehnt haben, lässt sich nicht ableiten, deren Entscheid sei nicht im Rahmen eines rechtsstaatlich korrekten Verfahrens ergangen. Es liegen auch keine Anhaltspunkte vor, die darauf schliessen lassen, Frankreich habe im Falle der Beschwerdeführerin den Grundsatz des Non-Refoulement gemäss Art. 33 FK und Art. 3 EMRK nicht beachtet und beabsichtige, sie nach Tunesien zurückzuschaffen, ohne geprüft zu haben, ob ihr dort flüchtlingsrechtlich relevante Verfolgung oder eine menschenrechtswidrige Behandlung drohen würde. Im Übrigen hat die Beschwerdeführerin die Möglichkeit, den französischen Behörden allfällige Wiederaufnahme- oder Wiedererwägungsgründe im Rahmen eines Folgeantrags nach Art. 40 Verfahrensrichtlinie zu unterbreiten und auf diese Weise eine erneute Überprüfung des negativen Entscheides zu erwirken. Soweit sie in ihrer Beschwerde die Befürchtung äussert, bei einer Rückkehr von ihrem in Frankreich lebenden Freund gefunden zu werden, der sie mit Aufnahmen von ihr allenfalls zu erpressen versuche, hat sie sich bei einer allfälligen Bedrohung an die französischen Polizei- und Justizbehörden zu wenden. Das Gleiche gilt auch für die im Dublin-Gespräch vorgebrachten Probleme mit einer Freundin, die sie dort kennengelernt habe. Frankreich ist ein Rechtsstaat und die Behörden sind gewillt und fähig, staatlichen Schutz zu gewähren. Es bestehen keinerlei Hinweise dafür, dass sie den benötigten Schutz dort nicht erhalten würde. Insgesamt hat die Beschwerdeführerin keine individuellen Umstände geltend gemacht, gestützt auf welche sich die Annahme rechtfertigen würde, Frankreich werde ihr nach einer Überstellung im Rahmen des Dublin-Verfahrens dauerhaft die ihr gemäss Aufnahmerichtlinie zustehenden minimalen Lebensbedingungen vorenthalten. Bei einer allfälligen vorübergehenden Einschränkung könnte sie sich ausserdem nötigenfalls an die dortigen Behörden wenden und die ihr zustehenden Aufnahmebedingungen auf dem Rechtsweg einfordern (vgl. Art. 26 Aufnahmerichtlinie).</w:t>
      </w:r>
    </w:p>
    <w:p>
      <w:r>
        <w:rPr>
          <w:b/>
        </w:rPr>
        <w:t>E. 6.3.2</w:t>
      </w:r>
    </w:p>
    <w:p>
      <w:r>
        <w:t>Was den Gesundheitszustand der Beschwerdeführerin angeht, sind die aktenkundigen gesundheitlichen Beeinträchtigungen (Nennung Leiden) selbst in ihrer Gesamtheit nicht von derartiger Schwere, dass sie eine bei einer Überstellung nach Frankreich drohende Verletzung von Art. 3 EMRK zu begründen vermöchten. Frankreich verfügt zudem über eine fortschrittliche medizinische Infrastruktur und ist gemäss Art. 19 Abs. 1 und 2 der Aufnahmerichtlinie verpflichtet, der Beschwerdeführerin erneut respektive bei Bedarf die erforderliche medizinische Behandlung allfälliger gesundheitlicher Probleme zukommen zu lassen.</w:t>
      </w:r>
    </w:p>
    <w:p>
      <w:r>
        <w:rPr>
          <w:b/>
        </w:rPr>
        <w:t>E. 6.4</w:t>
      </w:r>
    </w:p>
    <w:p>
      <w:r>
        <w:t>Die angefochtene Verfügung ist schliesslich auch hinsichtlich der Prüfung der humanitären Gründe nicht zu beanstanden. Das SEM verfügt praxisgemäss bei der Anwendung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Dies ist hier der Fall.</w:t>
      </w:r>
    </w:p>
    <w:p>
      <w:r>
        <w:rPr>
          <w:b/>
        </w:rPr>
        <w:t>E. 6.5</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7</w:t>
      </w:r>
    </w:p>
    <w:p>
      <w:r>
        <w:t>Das SEM ist demnach zu Recht in Anwendung von Art. 31a Abs. 1 Bst. b AsylG auf das Asylgesuch der Beschwerdeführerin nicht eingetreten und hat - weil sie nicht im Besitz einer gültigen Aufenthalts- oder Niederlassungsbewilligung ist - in Anwendung von Art. 44 AsylG die Überstellung nach Frankreich angeordnet (Art. 32 Bst. a AsylV 1). Die angefochtene Verfügung verletzt demnach kein Bundesrecht (Art. 106 Abs. 1 AsylG). Die Beschwerde ist abzuweisen.</w:t>
      </w:r>
    </w:p>
    <w:p>
      <w:r>
        <w:rPr>
          <w:b/>
        </w:rPr>
        <w:t>E. 8.1</w:t>
      </w:r>
    </w:p>
    <w:p>
      <w:r>
        <w:t>Das Beschwerdeverfahren ist mit vorliegendem Urteil abgeschlossen, weshalb der am 3. Juli 2024 verfügte Vollzugsstopp dahinfällt.</w:t>
      </w:r>
    </w:p>
    <w:p>
      <w:r>
        <w:rPr>
          <w:b/>
        </w:rPr>
        <w:t>E. 8.2</w:t>
      </w:r>
    </w:p>
    <w:p>
      <w:r>
        <w:t>Das Gesuch um Gewährung der unentgeltlichen Prozessführung ist abzuweisen, da die Begehren - wie sich aus den vorstehenden Erwägungen ergibt - als aussichtslos zu bezeichnen sind (Art. 65 Abs. 1 VwVG).</w:t>
      </w:r>
    </w:p>
    <w:p>
      <w:r>
        <w:rPr>
          <w:b/>
        </w:rPr>
        <w:t>E. 8.3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