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F-4177/2019 vom 27. April 2021</w:t>
      </w:r>
    </w:p>
    <w:p>
      <w:r>
        <w:t>Bundesverwaltungsgericht, 2021-04-27, DE</w:t>
      </w:r>
    </w:p>
    <w:p>
      <w:r>
        <w:rPr>
          <w:b/>
        </w:rPr>
        <w:t xml:space="preserve">Quelle: </w:t>
      </w:r>
      <w:r>
        <w:t>https://mcp.opencaselaw.ch/entscheid/bvger_F-4177_2019</w:t>
      </w:r>
    </w:p>
    <w:p>
      <w:r>
        <w:t>FR: TAF F-4177/2019 du 27 avril 2021</w:t>
      </w:r>
    </w:p>
    <w:p>
      <w:r>
        <w:t>IT: TAF F-4177/2019 del 27 aprile 2021</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 Über sie entscheidet das Bundesverwaltungsgericht endgültig (Art. 83 Bst. c Ziff. 1 BGG).</w:t>
      </w:r>
    </w:p>
    <w:p>
      <w:r>
        <w:rPr>
          <w:b/>
        </w:rPr>
        <w:t>E. 1.4</w:t>
      </w:r>
    </w:p>
    <w:p>
      <w:r>
        <w:t>Am 1. Oktober 2019 kam die Vorinstanz im Rahmen des Vernehmlassungsverfahrens teilweise auf das angefochtene Einreiseverbot zurück und befristete dieses neu auf den 11. Juni 2022. Gegenstand des vorliegenden Verfahrens bildet daher lediglich noch das am 1. Oktober 2019 für die Dauer von drei Jahren ausgefällte Einreiseverbot, mitsamt dessen Ausschreibung im SIS II (Art. 58 Abs. 3 VwVG; BGE 127 V 228 E. 2b/bb; 113 V 237 E. 1a). Soweit die Beschwerde vom 19. August 2019 darüber hinausgeht, ist sie als gegenstandslos geworden abzuschreiben.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Landesrechtliche Grundlage der angefochtenen Verfügung vom 12. Juni 2019 ist Art. 67 des Ausländer- und Integrationsgesetzes (AIG, SR 142.20). Die Absätze 1 und 2 dieser Bestimmung zählen eine Reihe von Tatbeständen auf, welche ein Einreiseverbot nach sich ziehen oder nach sich ziehen können.</w:t>
      </w:r>
    </w:p>
    <w:p>
      <w:r>
        <w:rPr>
          <w:b/>
        </w:rPr>
        <w:t>E. 3.2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3.3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Botschaft, a.a.O. S. 3760 sowie Urteil des BVGer F-7649/2016 vom 13. März 2018 E. 3.2 m.H.).</w:t>
      </w:r>
    </w:p>
    <w:p>
      <w:r>
        <w:rPr>
          <w:b/>
        </w:rPr>
        <w:t>E. 4.1</w:t>
      </w:r>
    </w:p>
    <w:p>
      <w:r>
        <w:t>Im Wesentlichen wird in der Beschwerde vom 19. August 2019 vorgebracht, dass das rechtliche Gehör der Beschwerdeführerin verletzt worden sei, weil die Vorinstanz in zu knapper Form und mit unbestimmten bzw. nicht existierenden Rechtsbegriffen die Anordnung der Fernhaltemassnahme begründet und dadurch das Recht auf hinreichende Begründung als Teilgehalt des rechtlichen Gehörs nach Art. 29 Abs. 2 BV verletzt habe (BVG-act. 1 S. 5). Die Beschwerdeführerin moniert im Übrigen, die Vor-instanz habe in Bezug auf die Dauer und die Verhältnismässigkeit des Einreiseverbots die Begründungspflicht verletzt (BVGer-act. 11 S. 2). Die Begründungspflicht als Teilaspekt des Anspruchs auf rechtliches Gehör gemäss Art. 29 Abs. 2 BV (konkretisiert in Art. 35 VwVG) soll die betroffene Person in die Lage versetzen, den Entscheid sachgerecht anzufechten. Die Behörde hat daher kurz die wesentlichen Überlegungen zu nennen, von denen sie sich leiten liess und auf die sie ihren Entscheid stützt (BGE 143 III 65 E. 5.2; 141 V 557 E. 3.2.1; 136 I 229 E. 5.2; Urteile des BGer 2D_14/2018 vom 13. August 2018 E. 3.1 sowie 2C_633/2017 vom 2. Mai 2018 E. 3.2 je m.H.). Je weiter der Entscheidungsspielraum, je komplexer die Sach- und Rechtslage und je schwerwiegender der Eingriff in die Rechtsstellung der betroffenen Person, desto höhere Anforderungen sind an die Begründung zu stellen (zum Ganzen Urteil des BVGer F-7526/2015 vom 20. Dezember 2016 E. 3.2 m.H.). Eine Verletzung des Gehörsanspruchs führt grundsätzlich zur Aufhebung der angefochtenen Verfügung und Rückweisung der Sache an die Vor-instanz. Im Falle der Verletzung der Begründungspflicht kann der Mangel auf Rechtsmittelebene jedoch geheilt werden, wenn die Vorinstanz die Entscheidsgründe in einer den gesetzlichen Anforderungen genügenden Weise darlegt und die Rechtsmittelinstanz der betroffenen Partei im Rahmen eines zweiten Schriftenwechsels die Möglichkeit einräumt, sich dazu zu äussern (vgl. Kneubühler/Pedretti, VwVG-Kommentar, 2. Aufl. 2019, N. 22 zu Art. 35 m.H.). Es trifft zu, dass die Begründung der angefochtenen (ursprünglichen) Verfügung den Prozess der Interessenabwägung nicht widerspiegelt und nur das Ergebnis festhält. Indessen hat die Vorinstanz in ihrer Vernehmlassung die Begründung ergänzt und ausgehend von den privaten Interessen der Beschwerdeführerin ihre ursprüngliche Verfügung in Wiedererwägung gezogen und die Dauer des Einreiseverbotes auf drei Jahre reduziert. In casu war es der Beschwerdeführerin denn auch ohne weiteres möglich, sachgerecht und vollständig gegen die vorinstanzliche Verfügung zu argumentieren. Zudem gilt es zu berücksichtigen, dass Einreiseverbote zu den mengenmässig häufigsten Anordnungen der schweizerischen Verwaltungspraxis zählen und das SEM als erstinstanzliche Behörde speditiv zu entscheiden hat. An die Begründung dürfen deshalb keine besonders hohen Anforderungen gestellt werden (vgl. etwa Urteil des BVGer F-4156/2016 vom 8. Dezember 2017 E. 3.4 m.H.). Eine Verletzung der Begründungspflicht kann - soweit im Zusammenhang mit der ursprünglichen Verfügung auf eine solche zu erkennen ist - als geheilt betrachtet werden. .</w:t>
      </w:r>
    </w:p>
    <w:p>
      <w:r>
        <w:rPr>
          <w:b/>
        </w:rPr>
        <w:t>E. 4.2</w:t>
      </w:r>
    </w:p>
    <w:p>
      <w:r>
        <w:t>Die Vorinstanz hat das gegen die Beschwerdeführerin verhängte Einreiseverbot damit begründet, dass sie eine Scheinehe eingegangen sei, und auf die deswegen am 8. Juni 2018 erfolgte Nichtverlängerung ihrer Aufenthaltsbewilligung verwiesen. Von den im Aufenthaltsbewilligungsverfahren zuständigen Instanzen wurde der Beschwerdeführerin zur Last gelegt, dass sie sich mit dem Eheschluss unrechtmässige, ausländerrechtliche Vorteile verschaffen wollte (Umgehungsehe). Zahlreiche Unstimmigkeiten seien bei einer Anhörung der Ehegatten auszumachen gewesen. So seien divergierende Angaben betreffend Kennenlernen, Wohnort, körperliche Merkmale, Datum des Eheschlusses, Ort der Feierlichkeiten gemacht worden und ein gemeinsamer Wohnsitz sei erst im Juni 2017, ein halbes Jahr nach Eheschluss, begründet worden. Der grosse Altersunterschied zwischen den beiden Ehegatten von 30 Jahren wurde als weiteres Indiz für eine Scheinehe gewertet (ZH-act. 6, Urteil des Verwaltungsgerichts des Kantons Zürich vom 20. März 2019 E. 4.2.1 f.).</w:t>
      </w:r>
    </w:p>
    <w:p>
      <w:r>
        <w:rPr>
          <w:b/>
        </w:rPr>
        <w:t>E. 4.3</w:t>
      </w:r>
    </w:p>
    <w:p>
      <w:r>
        <w:t>Demgegenüber bestritt die Beschwerdeführerin in ihrer Rechtsmitteleingabe vom 19. August 2019 jegliche Täuschungshandlung gegenüber den schweizerischen Behörden (BVGer-act. 1 S. 5). Allerdings kann sie - ungeachtet ihrer Motive - mit der vorliegenden Beschwerde nicht verlangen, dass der im kantonalen Verfahren erhobene und dem rechtskräftigen Urteil des Verwaltungsgerichts zugrundeliegende Sachverhalt ignoriert und ihren hier wie dort gleichen Behauptungen nunmehr geglaubt wird.</w:t>
      </w:r>
    </w:p>
    <w:p>
      <w:r>
        <w:rPr>
          <w:b/>
        </w:rPr>
        <w:t>E. 4.4</w:t>
      </w:r>
    </w:p>
    <w:p>
      <w:r>
        <w:t>Das Eingehen einer Scheinehe wird praxisgemäss als schwerwiegender Verstoss gegen die öffentliche Ordnung angesehen (Art. 67 Abs. 2 Bst. a AIG; vgl. etwa Urteile des Bundesverwaltungsgerichts F-2561/2019 vom 5. Februar 2021 E. 4.2, F-6222/2017 vom 24. März 2020 E. 5.3.3, F-4405/2016 vom 28. Juni 2017 E. 6.2, C-323/2013 vom 14. April 2014 E. 4, C-1483/2012 vom 4. April 2014 E. 5.4 oder C-2348/2012 vom 28. August 2013 E. 4.4). Die eigene Überzeugung der Beschwerdeführerin, von ihr werde in Zukunft keine Gefahr mehr ausgehen (BVGer-act. 1 S 7 f.), ist aufgrund der gegenteiligen gesetzlichen Vermutung (vgl. E. 3.3) nicht massgeblich. Insoweit kann sie der Vorinstanz auch nicht vorwerfen, auf den Umstand der künftigen Gefährdung durch sie nicht näher eingegangen zu sein. Mit dem Urteil des Verwaltungsgerichts des Kantons Zürich vom 20. März 2019 steht fest, dass die Beschwerdeführerin eine Umgehungsehe geschlossen hatte. Die Voraussetzungen für ein Einreiseverbot gemäss Art. 67 Abs. 2 Bst. a AIG sind somit fraglos erfüllt.</w:t>
      </w:r>
    </w:p>
    <w:p>
      <w:r>
        <w:rPr>
          <w:b/>
        </w:rPr>
        <w:t>E. 5.1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der Verfügungsbelasteten bilden dabei den Ausgangspunkt der Überlegungen (vgl. statt vieler Häfelin et al., Allgemeines Verwaltungsrecht, 8. Aufl. 2020, N 555 f.).</w:t>
      </w:r>
    </w:p>
    <w:p>
      <w:r>
        <w:rPr>
          <w:b/>
        </w:rPr>
        <w:t>E. 5.2</w:t>
      </w:r>
    </w:p>
    <w:p>
      <w:r>
        <w:t>Vor dem Hintergrund der gegenüber den Ausländerbehörden begangenen Täuschung und der damit einhergehenden ungünstigen Prognose liegt die Fernhaltung der Beschwerdeführerin im öffentlichen Interesse. Dabei geht es nicht nur um den spezialpräventiven Charakter des Einreiseverbots, welches das missliche Verhalten auch über die angeordnete Dauer hinaus unterbinden soll, sondern auch um generalpräventive Aspekte, die zum Schutz der ausländerrechtlichen Ordnung eine konsequente Mass-nahmepraxis erfordern (zu den Kriterien der Interessenabwägung im ausländerrechtlichen Verfahren vgl. Urteil des BGer 2C_432/2016 vom 26. Januar 2018 E. 4.3.2 m.H.).</w:t>
      </w:r>
    </w:p>
    <w:p>
      <w:r>
        <w:rPr>
          <w:b/>
        </w:rPr>
        <w:t>E. 5.3</w:t>
      </w:r>
    </w:p>
    <w:p>
      <w:r>
        <w:t>Dem öffentlichen Interesse an ihrer Fernhaltung sind die privaten Interessen der Beschwerdeführerin gegenüberzustellen. Sie macht namentlich geltend, dass sie in ihrem Herkunftsland durch ihren Ex-Freund an Leib und Leben bedroht würde (BVGer-act. 1 S. 4). Dieser Umstand war zwar im Aufenthaltsbewilligungsverfahren im Zusammenhang mit der Wegweisung von möglicher Bedeutung; er ist es aber nicht im Verfahren um Erlass eines Einreiseverbots. Denn ein allfälliger Verzicht auf Ausreise aus der Schweiz und Rückkehr in das Heimatland steht hier nicht zur Diskussion.</w:t>
      </w:r>
    </w:p>
    <w:p>
      <w:r>
        <w:rPr>
          <w:b/>
        </w:rPr>
        <w:t>E. 5.4</w:t>
      </w:r>
    </w:p>
    <w:p>
      <w:r>
        <w:t>Soweit die Beschwerdeführerin geltend macht, das Einreiseverbot verhindere den Kontakt zu in der Schweiz lebenden Verwandten und Bekannten (BVGer-act. 11 S. 2 f.), ist ihr zu begegnen, dass eine solche, sich aus der Natur des Einreiseverbots ergebende Einschränkung hinzunehmen ist. Die Verhältnismässigkeit der Massnahme an sich wird dadurch nicht in Frage gestellt, wäre doch ansonsten das Instrument des Einreiseverbots gegenüber allen Personen mit Bezugspersonen in der Schweiz per se unzulässig (vgl. auch Urteil des BGer 2C_270/2015 vom 6. August 2015 E. 8.2; Urteil des BVGer F-1126/2017 vom 30. Januar 2019 E. 5.4).</w:t>
      </w:r>
    </w:p>
    <w:p>
      <w:r>
        <w:rPr>
          <w:b/>
        </w:rPr>
        <w:t>E. 5.5</w:t>
      </w:r>
    </w:p>
    <w:p>
      <w:r>
        <w:t>In einer wertenden Gewichtung der sich entgegenstehenden Interessen kann nicht geschlossen werden, das private Interesse der Beschwerdeführerin an unkontrollierten Einreisen in die Schweiz überwiege das öffentliche Interesse an ihrer Fernhaltung. Das auf drei Jahre befristete Einreiseverbot stellt auch in der Dauer unter Berücksichtigung der gängigen Praxis in vergleichbaren Fällen eine angemessene und verhältnismässige Massnahme zum Schutz der öffentlichen Sicherheit und Ordnung dar. Dabei gilt zu bedenken, dass die Beschwerdeführerin ihre missbräuchliche Berufung auf die nur zum Schein bestehende Ehe nicht von sich aus aufgegeben hat, sondern als Folge behördlicher Abklärungen und Interventionen aufgeben musste (vgl. zum Ganzen Urteile des BVGer F-1126/2017 vom 30. Januar 2019 E. 5.5; F-3533/2016 vom 31. Mai 2017 E. 5.5; C-323/2013 vom 14. April 2014 E. 5.2).</w:t>
      </w:r>
    </w:p>
    <w:p>
      <w:r>
        <w:rPr>
          <w:b/>
        </w:rPr>
        <w:t>E. 6</w:t>
      </w:r>
    </w:p>
    <w:p>
      <w:r>
        <w:t>Der Bedeutung des Einreiseverbots entsprechend wurde die Beschwerdeführerin im Schengener Informationssystem (SIS II) zur Einreiseverweigerung ausgeschrieben (vgl. Art. 21 und Art. 24 Abs. 3 SIS II-Verordnung sowie Art. 20 - 22 der Verordnung über den nationalen Teil des Schengener Informationssystems (N- SIS) und das SIRENE-Büro (N-SIS-Verordnung vom 8. März 2013 [SR 362.0]). Die Rechtmässigkeit dieser Ausschreibung ist mit dem Hinweis allein auf die Anwesenheit von Verwandten und Bekannten im übrigen Schengen-Gebiet nicht schon in Frage zu stellen.</w:t>
      </w:r>
    </w:p>
    <w:p>
      <w:r>
        <w:rPr>
          <w:b/>
        </w:rPr>
        <w:t>E. 7</w:t>
      </w:r>
    </w:p>
    <w:p>
      <w:r>
        <w:t>Aus diesen Erwägungen folgt, dass weder das auf drei Jahre befristete Einreiseverbot noch dessen Ausschreibung im SIS II Bundesrecht verletzt (Art. 49 VwVG). Die Beschwerde ist daher abzuweisen, soweit sie nicht durch das Rückkommen der Vorinstanz gegenstandslos geworden ist.</w:t>
      </w:r>
    </w:p>
    <w:p>
      <w:r>
        <w:rPr>
          <w:b/>
        </w:rPr>
        <w:t>E. 8.1</w:t>
      </w:r>
    </w:p>
    <w:p>
      <w:r>
        <w:t>Bei diesem Ausgang des Verfahrens, das einem teilweisen Obsiegen der Beschwerdeführerin gleichkommt, sind die reduzierten Verfahrenskosten von Fr. 600.- der Beschwerdeführerin aufzuerlegen und der Restbetrag des geleisteten Kostenvorschusses ist ihr zurückzuerstatten (vgl. Art. 63 Abs. 1 VwVG i.V.m. Art. 1 ff. des Reglements vom 21. Februar 2008 über die Kosten und Entschädigungen vor dem Bundesverwaltungsgericht [VGKE, SR 173.320.2]).</w:t>
      </w:r>
    </w:p>
    <w:p>
      <w:r>
        <w:rPr>
          <w:b/>
        </w:rPr>
        <w:t>E. 8.2</w:t>
      </w:r>
    </w:p>
    <w:p>
      <w:r>
        <w:t>Der Beschwerdeführerin ist ferner zu Lasten der Vorinstanz im Umfang des Obsiegens eine gekürzte Parteientschädigung für notwendige und verhältnismässig hohe Kosten zuzusprechen (Art. 64 Abs. 1 und Abs. 2 VwVG, Art. 7 Abs. 4 VGKE). Ausgangspunkt bildet die Honorarnote des Rechtsvertreters vom 4. März 2021, mit der für Honorar und Auslagen ein Betrag von Fr. 4'098.75 (exkl. MwSt.) ausgewiesen wird. Da die Honorarnote zu keinen Beanstandungen Anlass gibt, ist der ausgewiesene Betrag zu übernehmen und entsprechend zu kürzen, was zu einer Parteientschädigung im Betrag von Fr. 1'639.50 führt. Ein Mehrwertsteuerzuschlag ist darin nicht enthalten, da anwaltschaftliche Dienstleistungen an im Ausland wohnhafte Mandanten nicht der Steuerpflicht unterliegen (vgl. Art. 9 Abs. 1 Bst. c VGKE i.V.m. Art. 1 Abs. 2 Bst. a und Art. 8 Abs. 1 MWSTG [SR 641.20]; Urteil des BVGer F-6415/2019 vom 1. Februar 2021 E. 8.2 m.H.).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