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F-4166/2021 vom 9. September 2021</w:t>
      </w:r>
    </w:p>
    <w:p>
      <w:r>
        <w:t>Bundesverwaltungsgericht, 2021-09-09, DE</w:t>
      </w:r>
    </w:p>
    <w:p>
      <w:r>
        <w:rPr>
          <w:b/>
        </w:rPr>
        <w:t xml:space="preserve">Quelle: </w:t>
      </w:r>
      <w:r>
        <w:t>https://mcp.opencaselaw.ch/entscheid/bvger_F-4166_2021_d20210909</w:t>
      </w:r>
    </w:p>
    <w:p>
      <w:r>
        <w:t>FR: TAF F-4166/2021 du 9 septembre 2021</w:t>
      </w:r>
    </w:p>
    <w:p>
      <w:r>
        <w:t>IT: TAF F-4166/2021 del 9 settembre 2021</w:t>
      </w:r>
    </w:p>
    <w:p>
      <w:pPr>
        <w:pStyle w:val="Heading2"/>
      </w:pPr>
      <w:r>
        <w:t>Regeste</w:t>
      </w:r>
    </w:p>
    <w:p>
      <w:r>
        <w:t>Einreiseverbot | Einreiseverbot; Verfügung des SEM vom 9. September 2021</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F-4166/2021 Seite 6</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2020 VII/4 E. 2.2 m.H.).</w:t>
      </w:r>
    </w:p>
    <w:p>
      <w:r>
        <w:rPr>
          <w:b/>
        </w:rPr>
        <w:t>E. 3.1</w:t>
      </w:r>
    </w:p>
    <w:p>
      <w:r>
        <w:t>Die Vorinstanz kann gestützt auf Art. 67 Abs. 2 aBst.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Das Einreiseverbot wird für eine Dauer von höchstens fünf Jahren verhängt. Die Anordnung eines Einreiseverbots von mehr als fünf Jahren Dauer ist zu- lässig, wenn von der ausländischen Person eine schwerwiegende Gefahr für die öffentliche Sicherheit und Ordnung ausgeht (Art. 67 Abs. 3 AIG). Aus humanitären oder anderen wichtigen Gründen kann die zuständige Be- hörde von einem Einreiseverbot absehen oder ein Einreiseverbot vollstän- dig oder vorübergehend aufheben (Art. 67 Abs. 5 AIG).</w:t>
      </w:r>
    </w:p>
    <w:p>
      <w:r>
        <w:rPr>
          <w:b/>
        </w:rPr>
        <w:t>E. 3.2</w:t>
      </w:r>
    </w:p>
    <w:p>
      <w:r>
        <w:t>Das Einreiseverbot dient der Abwendung künftiger Störungen der öf- fentlichen Sicherheit und Ordnung (Botschaft vom 2. März 2002 zum Bun- desgesetz über die Ausländerinnen und Ausländer [BBl 2002 3709, 3813]).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w:t>
      </w:r>
    </w:p>
    <w:p>
      <w:r>
        <w:t>F-4166/2021 Seite 7 vorliegt, ist gestützt auf die gesamten Umstände des Einzelfalles im Sinne einer Prognose zu beurteilen, die sich naturgemäss in erster Linie auf das vergangene Verhalten des Betroffenen abstützen muss.</w:t>
      </w:r>
    </w:p>
    <w:p>
      <w:r>
        <w:rPr>
          <w:b/>
        </w:rPr>
        <w:t>E. 3.3</w:t>
      </w:r>
    </w:p>
    <w:p>
      <w:r>
        <w:t>Die öffentliche Sicherheit und Ordnung im Sinne von Art. 67 Abs. 2 aBst. a AIG bildet den Oberbegriff für die Gesamtheit der polizeilichen Schutzgüter. Sie umfasst unter anderem die Unverletzlichkeit der objekti- ven Rechtsordnung und der Rechtsgüter Einzelner (vgl. BBl 2002 3709, 3808 f.,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Die Annahme einer Gefährdung der öffentlichen Si- cherheit und Ordnung setzt konkrete Anhaltspunkte dafür voraus, dass der Aufenthalt des Betroffenen in der Schweiz mit erheblicher Wahrscheinlich- keit zu einem Verstoss gegen die öffentliche Sicherheit und Ordnung füh- ren wird (Art. 77a Abs. 2 VZAE).</w:t>
      </w:r>
    </w:p>
    <w:p>
      <w:r>
        <w:rPr>
          <w:b/>
        </w:rPr>
        <w:t>E. 4.1</w:t>
      </w:r>
    </w:p>
    <w:p>
      <w:r>
        <w:t>Zur Begründung des Einreiseverbots führte die Vorinstanz aus, der Be- schwerdeführer habe in der Schweiz unter Berufung auf das Abkommen vom 21. Juni 1999 zwischen der Schweizerischen Eidgenossenschaft ei- nerseits und der Europäischen Gemeinschaft und ihren Mitgliedstaaten an- dererseits über die Freizügigkeit (FZA, SR 0.142.112.681) eine Aufent- haltsbewilligung erwirkt. Nachdem sich herausgestellt habe, dass sein slo- wenischer Pass gefälscht und er nicht slowenischer, sondern serbischer Staatsangehöriger sei, sei ihm die Verlängerung der Aufenthaltsbewilligung verweigert worden und er selbst sei aus der Schweiz weggewiesen wor- den. Trotz des Freispruchs im Strafverfahren in Sachen Täuschung der Behör- den gemäss dem Grundsatz «in dubio pro reo» bestünden aus ausländer- rechtlicher Sicht erhebliche Zweifel an den Angaben des Beschwerdefüh- rers zum behaupteten Erwerb der slowenischen Staatsangehörigkeit. Es könne nicht angenommen werden, dass er gutgläubig gewesen sei. Viel- mehr sei von seiner Absicht auszugehen, die ausländerrechtlichen Zulas- sungsbestimmungen zu umgehen. Angesichts des missbräuchlichen Ver- haltens des Beschwerdeführers und der damit einhergehenden Gefähr- dung der öffentlichen Sicherheit und Ordnung sei der Erlass einer Fernhal- temassnahme gestützt auf Art. 67 Abs. 2 aBst. a AIG angezeigt.</w:t>
      </w:r>
    </w:p>
    <w:p>
      <w:r>
        <w:t>F-4166/2021 Seite 8</w:t>
      </w:r>
    </w:p>
    <w:p>
      <w:r>
        <w:rPr>
          <w:b/>
        </w:rPr>
        <w:t>E. 4.2</w:t>
      </w:r>
    </w:p>
    <w:p>
      <w:r>
        <w:t>Der Beschwerdeführer macht demgegenüber geltend, er habe den Rei- sepass von den slowenischen Behörden gutgläubig erworben und auch die entsprechenden Gebühren bezahlt. Das werde vom freisprechenden Urteil des Bezirksgerichts Zofingen bestätigt. Ein Freispruch in einem Strafver- fahren sei ein Freispruch. Graduelle Abstufungen von Freisprüchen gebe es nicht. Die Vorinstanz habe sich grundsätzlich an den Entscheid des Strafrichters und an dessen Sachverhaltsfeststellungen zu halten. Jeden- falls seien von ihr keine Gründe geltend gemacht worden, die eine andere Beurteilung als diejenige des Strafrichters rechtfertigen würden. Es sei des- halb davon auszugehen, dass er, der Beschwerdeführer, einen sloweni- schen Reisepass gehabt und diesen auch rechtmässig erworben habe. So- mit könne festgehalten werden, dass von ihm keine Gefährdung der öffent- lichen Sicherheit und Ordnung ausgehe. Dies werde dadurch bestätigt, dass er sich in all den Jahren, die er zusammen mit seiner Familie hier in der Schweiz verbracht habe, immer wohl verhalten habe. Der Erlass einer Fernhaltemassnahme sei somit nicht zulässig.</w:t>
      </w:r>
    </w:p>
    <w:p>
      <w:r>
        <w:rPr>
          <w:b/>
        </w:rPr>
        <w:t>E. 5.1</w:t>
      </w:r>
    </w:p>
    <w:p>
      <w:r>
        <w:t>Es steht fest, dass sich der Beschwerdeführer, ein serbischer Staats- angehöriger, gegenüber den Migrationsbehörden der Kantone Aargau und St. Gallen objektiv zu Unrecht als Staatsangehöriger Sloweniens ausgab und unter Verwendung eines gefälschten slowenischen Reisepasses die Erteilung einer EU/EFTA-Aufenthaltsbewilligung an sich und später an seine nordmazedonische Ehefrau und die gemeinsamen Kinder erwirkte. Nachdem er mit Strafbefehl vom 2. Mai 2017 wegen Fälschung von Aus- weisen, rechtswidrigen Aufenthalts, Erwerbstätigkeit ohne Bewilligung und Täuschung von Behörden verurteilt worden war, wurde er mit in Rechtskraft erwachsenem Urteil des Bezirksgerichts Zofingen vom 22. Januar 2018 mangels Beweisen von Schuld und Strafe freigesprochen.</w:t>
      </w:r>
    </w:p>
    <w:p>
      <w:r>
        <w:rPr>
          <w:b/>
        </w:rPr>
        <w:t>E. 5.2</w:t>
      </w:r>
    </w:p>
    <w:p>
      <w:r>
        <w:t>In diesem Zusammenhang ist festzuhalten, dass das Einreiseverbot als präventive Massnahme direkt an die Störung oder Gefährdung der öffent- lichen Sicherheit und Ordnung und nicht an deren Ahndung anknüpft. Ob die Massnahmenvoraussetzungen gegeben sind, beurteilt die Behörde in eigener Zuständigkeit gestützt auf eigene Kriterien und grundsätzlich ohne Bindung an die Beurteilung durch den Strafrichter. Im Interesse der Rechts- sicherheit und Rechtseinheit weicht die Behörde jedoch nicht ohne Not von den Tatsachenfeststellungen des Strafrichters ab. Dasselbe gilt für die rechtliche Würdigung, sofern diese sehr stark von Tatsachen abhängt, die der Strafrichter besser kennt (BVGE 2018 VII/2 E. 6.4 m.H.; Urteile des BVGer F-3903/2020 vom 14. Mai 2021 E. 5.2.1; F-2781/2019 vom 19.</w:t>
      </w:r>
    </w:p>
    <w:p>
      <w:r>
        <w:t>F-4166/2021 Seite 9 November 2020 E. 6.4.2, F-1641/2019 vom 14. September 2020 E. 3.4.3; je m.H.). Falls keine klaren Anhaltspunkte für die Unrichtigkeit der Tatsachenfeststel- lungen bestehen, darf die Verwaltungsbehörde nach ständiger Rechtspre- chung von den tatsächlichen Feststellungen im Strafurteil nur abweichen, wenn sie Tatsachen feststellt und ihrem Entscheid zugrunde legt, die dem Strafgericht unbekannt gewesen sind, wenn sie zusätzliche Beweise er- hebt oder wenn das Strafgericht bei der Rechtsanwendung nicht sämtliche Rechtsfragen abgeklärt hat. Dazu kann sie sich etwa veranlasst sehen, wenn der Freispruch im Strafverfahren ausdrücklich aufgrund der Un- schuldsvermutung zustande gekommen ist oder wenn die beschuldigte Person in jenem Verfahren ausdrücklich von ihrem Aussageverweige- rungsrecht Gebrauch macht (vgl. etwa Urteile 2C_197/2021 vom 6. Mai 2021 E. 3.3.1 und E. 3.3.2; 2C_1044/2018 vom 22. November 2019 E. 4.2 und 4.3; 2C_21/2019 vom 14. November 2019 E. 4.2.1 und 4.2.2; je m.H.).</w:t>
      </w:r>
    </w:p>
    <w:p>
      <w:r>
        <w:rPr>
          <w:b/>
        </w:rPr>
        <w:t>E. 5.2.1</w:t>
      </w:r>
    </w:p>
    <w:p>
      <w:r>
        <w:t>Das Bezirksgericht stützte sein Urteil explizit auf den strafprozessua- len Grundsatz «in dubio pro reo». Es erwog, dem Beschwerdeführer könne nicht rechtsgenügend nachgewiesen werden, dass er gewusst oder zumin- dest in Kauf genommen habe, der von ihm verwendete slowenische Rei- sepass sei gefälscht. Zur Begründung führte es im Wesentlichen aus, in Anbetracht der wirtschaftlichen Attraktivität der slowenischen Staatsange- hörigkeit für die Staatsangehörigen der anderen Nachfolgestaaten Jugo- slawiens – Slowenien sei am 1. Mai 2004 als erster Nachfolgestaat Jugo- slawiens der EU beigetreten – könne nicht ausgeschlossen werden, dass selbst von offizieller amtlicher Stelle in Slowenien gutgläubigen Bewerbern diese Staatbürgerschaft erteilt und ein entsprechender Pass ausgestellt worden sei, dabei aber «nicht alles mit rechten Dingen zu und her gegan- gen sei». Der Beschwerdeführer sei deshalb nach dem Grundsatz "in dubio pro reo" von Schuld und Strafe freizusprechen.</w:t>
      </w:r>
    </w:p>
    <w:p>
      <w:r>
        <w:rPr>
          <w:b/>
        </w:rPr>
        <w:t>E. 5.2.2</w:t>
      </w:r>
    </w:p>
    <w:p>
      <w:r>
        <w:t>Wie das Bezirksgericht unter Berufung auf die bundesgerichtliche Rechtsprechung ausführt (Urteil des BGer 6B_253/2016 vom 29. März 2017 E. 1.3.2), gebietet es der Grundsatz «in dubio pro reo», von der für den Beschuldigten günstigeren Sachlage auszugehen, wenn unüberwind- liche Zweifel daran bestehen, dass die tatbestandlichen Voraussetzungen der angeklagten Tat erfüllt sind. Bloss abstrakte und theoretische Zweifel sind nicht massgebend, weil solche immer möglich sind und absolute Ge- wissheit nicht verlangt werden kann. Erforderlich sind vielmehr erhebliche Zweifel, die sich nach der objektiven Sachlage aufdrängen. Die Zweifel, die</w:t>
      </w:r>
    </w:p>
    <w:p>
      <w:r>
        <w:t>F-4166/2021 Seite 10 das Bezirksgericht mit seiner pauschalen, nicht durch konkrete Anhalts- punkte untermauerten Infragestellung des Einbürgerungsverfahrens Slo- weniens, immerhin eines Mitgliedstaates der Europäischen Union (EU), begründet, sind jedoch solche abstrakten und theoretischen Zweifel und daher rechtsprechungsgemäss ungenügend für eine Anwendung des Grundsatzes «in dubio pro reo». Die theoretische Natur der verbleibenden Zweifel erhellt vorliegend umso klarer, als der Beschwerdeführer im Rah- men diverser Einvernahmen nicht in der Lage war, die Umstände in sich stimmig und widerspruchsfrei zu schildern, unter denen er die slowenische Staatsangehörigkeit und den slowenischen Reisepass erhalten haben will. Um an dieser Stelle Wiederholungen zu vermeiden, kann auf die ausführ- liche Darstellung des Verwaltungsgerichts des Kantons St. Gallen in sei- nem Urteil vom 28. Mai 2020 verwiesen werden (E. 3.2 S. 6 ff.).</w:t>
      </w:r>
    </w:p>
    <w:p>
      <w:r>
        <w:rPr>
          <w:b/>
        </w:rPr>
        <w:t>E. 5.3</w:t>
      </w:r>
    </w:p>
    <w:p>
      <w:r>
        <w:t>Unter den gegebenen Umständen erachtet das Bundesverwaltungsge- richt – wie bereits die Verwaltungsjustiz des Kantons St. Gallen – die tat- bestandlichen Feststellungen des Bezirksgerichts Zofingen als nicht bin- dend. Aus spezifisch ausländerrechtlicher Sicht ist davon auszugehen, dass der gegenüber dem Beschwerdeführer erhobene Vorwurf einer Täu- schung der Behörden durch Verwendung einer falschen Staatsangehörig- keit und eines gefälschten Reisepasses zutrifft. Demzufolge hat der Be- schwerdeführer den Fernhaltegrund der Verletzung der öffentlichen Sicher- heit und Ordnung im Sinne von Art. 67 Abs. 2 aBst. a AIG gesetzt. Ange- sichts der Tatsache, dass er die Täuschung der Behörden jahrelang auf- recht hielt und mit den falschen Angaben auch einen Kantonswechsel und einen Familiennachzug erwirkte, muss des Weiteren davon ausgegangen werden, dass von ihm auch eine Gefahr weiterer Störungen der Rechts- ordnung ausgeht. Somit ist auch der Fernhaltegrund einer Gefährdung der öffentlichen Sicherheit und Ordnung nach Art. 67 Abs. 2 aBst. a zweiter Halbsatz AIG erfüllt.</w:t>
      </w:r>
    </w:p>
    <w:p>
      <w:r>
        <w:rPr>
          <w:b/>
        </w:rPr>
        <w:t>E. 6.1</w:t>
      </w:r>
    </w:p>
    <w:p>
      <w:r>
        <w:t>Der Bestand und die Dauer des Einreiseverbots sind unter dem Blick- winkel des Grundsatzes der Verhältnismässigkeit zu überprüfen. Aus- gangspunkt der Überlegungen bilden die Stellung der verletzten oder ge- fährdeten Rechtsgüter, die Besonderheiten des ordnungswidrigen Verhal- tens und die persönlichen Verhältnisse der betroffenen ausländischen Per- son (vgl. Art. 67 Abs. 5 sowie Art. 96 Abs. 1 AIG; HÄFELIN/MÜLLER/UHL- MANN, Allgemeines Verwaltungsrecht, 8. Aufl. 2020, Rz. 555 ff.).</w:t>
      </w:r>
    </w:p>
    <w:p>
      <w:r>
        <w:t>F-4166/2021 Seite 11</w:t>
      </w:r>
    </w:p>
    <w:p>
      <w:r>
        <w:rPr>
          <w:b/>
        </w:rPr>
        <w:t>E. 6.2</w:t>
      </w:r>
    </w:p>
    <w:p>
      <w:r>
        <w:t>Die vom Beschwerdeführer zu verantwortende Störung der öffentlichen Sicherheit und Ordnung und die von ihm ausgehende Gefahr weiterer Stö- rungen begründen ein relevantes öffentliches Interesse an seiner Fernhal- tung. Irgendwelche private Interessen an von einem Einreiseverbot nicht behinderten Reisen in die Schweiz macht der Beschwerdeführer nicht gel- tend. Es sind denn auch keine erheblichen privaten Interessen ersichtlich, zumal seine Familie ausweislich der Akten über keinen Aufenthaltstitel in der Schweiz verfügt.</w:t>
      </w:r>
    </w:p>
    <w:p>
      <w:r>
        <w:rPr>
          <w:b/>
        </w:rPr>
        <w:t>E. 6.3</w:t>
      </w:r>
    </w:p>
    <w:p>
      <w:r>
        <w:t>Eine wertende Gewichtung der sich gegenüberstehenden Interessen führt das Bundesverwaltungsgericht daher zum Ergebnis, dass das von der Vorinstanz verhängte, auf drei Jahre bemessene Einreiseverbot eine ver- hältnismässige und angemessene Massnahme zum Schutz der öffentli- chen Sicherheit und Ordnung darstellt.</w:t>
      </w:r>
    </w:p>
    <w:p>
      <w:r>
        <w:rPr>
          <w:b/>
        </w:rPr>
        <w:t>E. 7</w:t>
      </w:r>
    </w:p>
    <w:p>
      <w:r>
        <w:t>Die Ausschreibung des Beschwerdeführers im SIS II zur Einreise- und Auf- enthaltsverweigerung wird zu Recht nicht beanstandet. Sie steht in Über- einstimmung mit Art. 21 und Art. 24 Ziff. 3 der (hier noch anwendbaren) Verordnung [EG] Nr. 1987/2006 des Europäischen Parlaments und des Rates vom 20. Dezember 2006 über die Einrichtung, den Betrieb und die Nutzung des Schengener Informationssystems der zweiten Generation (SIS-II-VO, Abl. L 381/4 vom 28.12.2006) (per 7. März 2023 abgelöst durch die Verordnung [EU] 2018/1861 des Europäischen Parlaments und des Rates vom 28. November 2018 über die Einrichtung, den Betrieb und die Nutzung des Schengener Informationssystems [SIS] im Bereich der Grenz- kontrollen, zur Änderung des Übereinkommens zur Durchführung des Übereinkommens von Schengen und zur Änderung und Aufhebung der Verordnung [EG] Nr. 1987/2006 [SIS-VO-Grenze, ABl. L 312/14 vom 7.12.2018]) und ist zu bestätigen.</w:t>
      </w:r>
    </w:p>
    <w:p>
      <w:r>
        <w:rPr>
          <w:b/>
        </w:rPr>
        <w:t>E. 8</w:t>
      </w:r>
    </w:p>
    <w:p>
      <w:r>
        <w:t>Aus den vorstehenden Erwägungen ergibt sich, dass die angefochtene Verfügung zu Recht ergangen ist (Art. 49 VwVG). Die Beschwerde ist dem- zufolge abzuweisen.</w:t>
      </w:r>
    </w:p>
    <w:p>
      <w:r>
        <w:t>F-4166/2021 Seite 12</w:t>
      </w:r>
    </w:p>
    <w:p>
      <w:r>
        <w:rPr>
          <w:b/>
        </w:rPr>
        <w:t>E. 9</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Eine Parteientschädi- gung steht dem Beschwerdeführer ausgangsgemäss nicht zu (Art. 64 Abs. 1 VwVG).</w:t>
      </w:r>
    </w:p>
    <w:p>
      <w:r>
        <w:rPr>
          <w:b/>
        </w:rPr>
        <w:t>E. 10</w:t>
      </w:r>
    </w:p>
    <w:p>
      <w:r>
        <w:t>Das vorliegende Urteil ist endgültig (vgl. Art. 83 Bst. c Ziff. 1 BGG). (Dispositiv nächste Seite)</w:t>
      </w:r>
    </w:p>
    <w:p>
      <w:r>
        <w:t>F-4166/2021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