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F-4158/2015 vom 8. Juli 2016</w:t>
      </w:r>
    </w:p>
    <w:p>
      <w:r>
        <w:t>Bundesverwaltungsgericht, 2016-07-08, DE</w:t>
      </w:r>
    </w:p>
    <w:p>
      <w:r>
        <w:rPr>
          <w:b/>
        </w:rPr>
        <w:t xml:space="preserve">Quelle: </w:t>
      </w:r>
      <w:r>
        <w:t>https://mcp.opencaselaw.ch/entscheid/bvger_F-4158_2015</w:t>
      </w:r>
    </w:p>
    <w:p>
      <w:r>
        <w:t>FR: TAF F-4158/2015 du 8 juillet 2016</w:t>
      </w:r>
    </w:p>
    <w:p>
      <w:r>
        <w:t>IT: TAF F-4158/2015 del 8 luglio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Zur vom Beschwerdeführer replikweise beantragten Parteibefragung bestand kein Anlass. Das Verwaltungsrechtspflegeverfahren ist vom Grundsatz der Schriftlichkeit geprägt (Moser/Beusch/Kneubühler, Prozessieren vor dem Bundesverwaltungsgericht, 2. Aufl. 2013, Rz. 3.86 m.H.) und es besteht kein Anspruch auf eine mündliche Anhörung (BGE 134 I 140 E. 5.3). Die Anordnung einer Parteibefragung würde vor diesem Hintergrund voraussetzen, dass wesentliche Teile des Sachverhalts nicht auf andere Weise (eben in schriftlicher Form) erhoben werden können. Der Beschwerdeführer unterliess es hingegen darzutun, welche zusätzlichen Elemente mit einer Parteibefragung erhellt werden sollten und auch nur auf diese Weise geklärt werden könnten. Unter diesen Umständen konnte von der beantragten Beweisvorkehr in antizipierter Beweiswürdigung ohne Verletzung des Anspruchs auf rechtliches Gehör abgesehen werden (BGE 136 I 229 E. 5.3 S. 236 f. m.H.).</w:t>
      </w:r>
    </w:p>
    <w:p>
      <w:r>
        <w:rPr>
          <w:b/>
        </w:rPr>
        <w:t>E. 4</w:t>
      </w:r>
    </w:p>
    <w:p>
      <w:r>
        <w:t>Der angefochtenen Verfügung liegt das Gesuch einer philippinischen Staatsangehörigen um Erteilung eines Visums für einen knapp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5.3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In den Philippinen sind breite Bevölkerungsschichten von vergleichs­weise kargen wirtschaftlichen und sozialen Lebensbedingungen betroffen. Obwohl das Land in den letzten Jahren stabile wirtschaftliche Wachstumsraten von durchschnittlich 6% verzeichnete, bleibt die Armut ein ungelöstes Problem. Nach Angaben der Weltbank stagniert sie bei rund 25% der Bevölkerung, und dies gegen den Trend der Südostasien-Region, in der die Armut allgemein rückläufig ist. Ein wesentlicher Grund dafür ist das hohe Bevölkerungswachstum von ca. 2% (etwa 2 Mio. pro Jahr). Die markante Bevölkerungszunahme dürfte auch Grund dafür sein, dass Arbeitslosigkeit und Unterbeschäftigung trotz Wirtschaftswachstum drängende Probleme darstellen. Die Arbeitslosenrate lag zwar nach offiziellen Angaben in den letzten Jahren recht stabil bei 7%. Dem steht allerdings ein starker Anstieg der Unterbeschäftigten (ca. 23%) gegenüber. Jedes Jahr verlassen deshalb mehr als eine Million Menschen das Land, um im Ausland Arbeit zu suchen, wobei die Tendenz zunehmend ist. Die Entsendung von Gastarbeitern ins Ausland hilft den heimischen Arbeitsmarkt zu entlasten, und sie dient darüber hinaus der Erwirtschaftung von Devisen und der Ankurbelung des Inlandkonsums (Quelle: Deutsches Auswärtiges Amt: www.auswaertiges-amt.de &gt; Aussen- und Europapolitik &gt; Länderinformationen &gt; Philippinen &gt; Wirtschaft, Stand: September 2015, besucht im Mai 2016).</w:t>
      </w:r>
    </w:p>
    <w:p>
      <w:r>
        <w:rPr>
          <w:b/>
        </w:rPr>
        <w:t>E. 6.4</w:t>
      </w:r>
    </w:p>
    <w:p>
      <w:r>
        <w:t>Vor allem bei der jüngeren Bevölkerung ist ein starker Trend zur Emigration festzustellen. Dabei gelten auch Europa und hier nicht zuletzt die Schweiz als Zieldestination vieler Auswanderer und Auswanderinnen im erwerbsfähigen Alter, welche sich auf diese Weise ihre eigene Existenz und oft auch diejenige zurückbleibender naher Angehöriger sichern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 indem - einmal eingereist - versucht wird, neue Fakten zu schaffen und die Anwesenheit auf eine ganz andere, dauerhafte Grundlage überzuführen.</w:t>
      </w:r>
    </w:p>
    <w:p>
      <w:r>
        <w:rPr>
          <w:b/>
        </w:rPr>
        <w:t>E. 6.5</w:t>
      </w:r>
    </w:p>
    <w:p>
      <w:r>
        <w:t>In Anbetracht dieser Umstände ist nicht zu beanstanden, wenn die Vorinstanz das Risiko einer nicht fristgerechten Wiederausreise mit Bezug auf gesuchstellende Personen aus den Philippinen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der gesuchstellenden Person bestehen, den Schengen-Raum vor Ablauf des Visums wieder zu verlassen (vgl. BVGE 2014/1 E. 4.4 und E. 6.3.1 je m.H.).</w:t>
      </w:r>
    </w:p>
    <w:p>
      <w:r>
        <w:rPr>
          <w:b/>
        </w:rPr>
        <w:t>E. 7.1</w:t>
      </w:r>
    </w:p>
    <w:p>
      <w:r>
        <w:t>Bei der Gesuchstellerin handelt es sich um eine 31-jährige unverheiratete Frau, alleinerziehende Mutter eines mittlerweile ca. fünfjährigen Sohnes. Nach Darstellung des Beschwerdeführers wohnt sie zusammen mit ihren Eltern und dem Kind in einem kleinen Haus in D._______, einer Ortschaft im Grossraum von Manila (SEM. act. 5/51 und 7/71). Seit dem Verlust ihrer letzten Arbeitsstelle im Dezember 2014 übe sie keine Erwerbstätigkeit mehr aus. Sie verrichte Haushaltsarbeiten und betreue ihr Kind sowie zeitweise auch die beiden Kinder einer Schwester, damit diese einer bezahlten Arbeit nachgehen könne (SEM act. 7/72). In diesen Verhältnissen ist sicherlich eine gewisse soziale Einbindung in ein familiäres Gefüge zu erblicken. Allerdings ist nicht von einem eigentlichen Abhängigkeitsverhältnis unter Verwandten auszugehen, wenn man vom Verhältnis zum eigenen Kind absieht. Was letzteres anbelangt, so verwies die Vorinstanz grundsätzlich zu Recht auf die mit knapp drei Monaten relativ lange geplante Trennung und auf den Umstand, dass in Verhältnissen wie den vorliegenden die Existenz eigener Kinder - zumindest solange sie gut betreut sind und intakte Aussichten auf einen späteren Nachzug bestehen - in aller Regel nicht von einem Entschluss zur Emigration abhalten kann.</w:t>
      </w:r>
    </w:p>
    <w:p>
      <w:r>
        <w:rPr>
          <w:b/>
        </w:rPr>
        <w:t>E. 7.2</w:t>
      </w:r>
    </w:p>
    <w:p>
      <w:r>
        <w:t>Gast und Gastgeber kennen sich erklärtermassen seit Dezember 2010. Gemäss den Angaben des Beschwerdeführers begegnete er der Gesuchstellerin damals zufälligerweise in einem Restaurant in E._______, einer Stadt, die zwar landschaftlich und kulturell für Touristen keine besondere, als landesweites Zentrum der Unterhaltung und des Nachtlebens aber umso grössere Bedeutung hat (SEM act. 7/73). Die Gesuchstellerin selbst erklärte gegenüber der Schweizer Vertretung, sie habe den Beschwerdeführer bei ihrer Arbeit kennen gelernt (SEM act. 5/41). Sie sähen sich einmal im Jahr während mehreren Wochen und unternähmen gemeinsame Reisen durch das Land. Daneben telefonierten sie regelmässig (SEM act. 5/41 und 7/73).</w:t>
      </w:r>
    </w:p>
    <w:p>
      <w:r>
        <w:rPr>
          <w:b/>
        </w:rPr>
        <w:t>E. 7.3</w:t>
      </w:r>
    </w:p>
    <w:p>
      <w:r>
        <w:t>Die Gesuchstellerin lebt seit dem Verlust ihrer letzten Arbeitsstelle Ende 2014 offenbar von finanziellen Zuwendungen des Beschwerdeführers. Diese beliefen sich gemäss den im Einspracheverfahren edierten Belegen allein im Zeitraum zwischen Mitte Februar und Ende April 2015 auf einen Betrag von Fr. 3'500.- (SEM act. 7/62 f.). Es ist mit anderen Worten in wirtschaftlicher Hinsicht von einem erheblichen einseitigen Abhängigkeitsverhältnis auszugehen. Daraus könnte zwar durchaus auf gewisse moralische Verpflichtungen der Gesuchstellerin dem Beschwerdeführer gegenüber geschlossen werden. Dennoch lässt sich angesichts der grossen kulturellen Unterschiede und eines erheblichen Altersunterschieds von 25 Jahren nicht abschätzen, wie sich das Verhältnis zwischen den beiden während des geplanten langen Besuchsaufenthalts entwickeln könnte.</w:t>
      </w:r>
    </w:p>
    <w:p>
      <w:r>
        <w:rPr>
          <w:b/>
        </w:rPr>
        <w:t>E. 7.4</w:t>
      </w:r>
    </w:p>
    <w:p>
      <w:r>
        <w:t>Entscheidend für die Frage der genügenden Gewähr kann auch nicht sein, dass der Beschwerdeführer nachträglich die Leistung finanzieller Sicherheiten im Umfang von Fr. 20'000.- offeriert. Dieses im Schweizerischen Recht geregelte Instrument (Art. 5 Bst. b und Art. 6 Abs. 3 AuG i.V.m. Art. 7 ff. VEV) dient einzig der Sicherstellung gewisser mit dem Aufenthalt verbundener Kosten und kommt damit entgegen der Auffassung des Beschwerdeführers weder von seinem Zweck noch von seinen Wirkungen her einer strafrechtlichen Kaution gleich (vgl. zum Ganzen Urteil des BVGer C-5260/2011 vom 4. April 2014 E. 4.3 und 4.4).</w:t>
      </w:r>
    </w:p>
    <w:p>
      <w:r>
        <w:rPr>
          <w:b/>
        </w:rPr>
        <w:t>E. 7.5</w:t>
      </w:r>
    </w:p>
    <w:p>
      <w:r>
        <w:t>An den guten Absichten und der Integrität des Beschwerdeführers ist sicherlich nicht zu zweifeln. Er kann in seiner Eigenschaft als Gastgeber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seines Gastes (vgl. BVGE 2009/27 E. 9).</w:t>
      </w:r>
    </w:p>
    <w:p>
      <w:r>
        <w:rPr>
          <w:b/>
        </w:rPr>
        <w:t>E. 7.6</w:t>
      </w:r>
    </w:p>
    <w:p>
      <w:r>
        <w:t>Die vom Beschwerdeführer gegenüber der Vorinstanz erhobene Rüge, wonach diese willkürlich handle, wenn sie von der Gesuchstellerin den Nachweis einer gesicherten Wiederausreise verlange ohne gleichzeitig darzutun, wie ein solcher überhaupt erbracht werden könne, erweist sich als unbegründet. Die in diesem Zusammenhang von der kantonalen Migrationsbehörde in deren Fragenkatalog vom 6. Mai 2015 (SEM act. 7/58) verwendete Sprachregelung ist vielleicht etwas unglücklich ausgefallen. Art. 5 Abs. 2 AuG spricht von einer Gewähr für die gesicherte Wiederausreise und es versteht sich von selbst, dass sich eine solche aus der Gesamtheit der persönlichen Verhältnisse ergeben muss. Es geht mit anderen Worten nicht um eine Form des Beweises, sondern um Plausibilität und Glaubwürdigkeit.</w:t>
      </w:r>
    </w:p>
    <w:p>
      <w:r>
        <w:rPr>
          <w:b/>
        </w:rPr>
        <w:t>E. 7.7</w:t>
      </w:r>
    </w:p>
    <w:p>
      <w:r>
        <w:t>Insgesamt ist die Schlussfolgerung der Vorinstanz, wonach die Wiederausreise der Gesuchstellerin angesichts der allgemeinen Lage im Heimatland und ihrer individuellen Situation zu wenig gesichert sei, nicht zu beanstanden. Mithin ist die über weite Strecken appellatorische Kritik des Beschwerdeführers unbegründet.</w:t>
      </w:r>
    </w:p>
    <w:p>
      <w:r>
        <w:rPr>
          <w:b/>
        </w:rPr>
        <w:t>E. 7.8</w:t>
      </w:r>
    </w:p>
    <w:p>
      <w:r>
        <w:t>Mit der fehlenden Gewähr für eine anstandslose Wiederausreise ist eine unabdingbare Voraussetzung zur Erteilung eines Schengen-Visums nicht erfüllt. Gründe für die Ausstellung eines Visums mit räumlich beschränkter Gültigkeit (vgl. dazu E.5.5) liegen nicht vor.</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