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F-4156/2016 vom 8. Dezember 2017</w:t>
      </w:r>
    </w:p>
    <w:p>
      <w:r>
        <w:t>Bundesverwaltungsgericht, 2017-12-08, DE</w:t>
      </w:r>
    </w:p>
    <w:p>
      <w:r>
        <w:rPr>
          <w:b/>
        </w:rPr>
        <w:t xml:space="preserve">Quelle: </w:t>
      </w:r>
      <w:r>
        <w:t>https://mcp.opencaselaw.ch/entscheid/bvger_F-4156_2016</w:t>
      </w:r>
    </w:p>
    <w:p>
      <w:r>
        <w:t>FR: TAF F-4156/2016 du 8 décembre 2017</w:t>
      </w:r>
    </w:p>
    <w:p>
      <w:r>
        <w:t>IT: TAF F-4156/2016 del 8 dicembre 2017</w:t>
      </w:r>
    </w:p>
    <w:p>
      <w:pPr>
        <w:pStyle w:val="Heading2"/>
      </w:pPr>
      <w:r>
        <w:t>Regeste</w:t>
      </w:r>
    </w:p>
    <w:p>
      <w:r>
        <w:t>Einreiseverbot</w:t>
      </w:r>
    </w:p>
    <w:p>
      <w:pPr>
        <w:pStyle w:val="Heading2"/>
      </w:pPr>
      <w:r>
        <w:t>Erwägungen</w:t>
      </w:r>
    </w:p>
    <w:p>
      <w:r>
        <w:rPr>
          <w:b/>
        </w:rPr>
        <w:t>E. 1.1</w:t>
      </w:r>
    </w:p>
    <w:p>
      <w:r>
        <w:t>Verfügungen der Vorinstanz, die ein Einreiseverbot im Sinne von Art. 67 AuG (Ausländergesetz, SR 142.20) zum Gegenstand haben, unterliegen der Beschwerde an das Bundesverwaltungsgericht (Art. 31 ff. VGG und Art. 5 VwVG).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des Rechtsmittels legitimiert (Art. 48 Abs. 1 VwVG). Auch die übrigen Sachurteilsvoraussetzungen sind erfüllt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Die Beschwerdeführerin rügt in formeller Hinsicht die Verletzung des Anspruchs auf rechtliches Gehör. Insbesondere habe sie den Dolmetscher anlässlich der polizeilichen Einvernahme nicht richtig verstehen können, so dass die Fragen und Antworten nicht richtig übersetzt und falsch protokolliert worden seien. Das Einreiseverbot sei ihr zudem nicht in einer ihr verständlichen Sprache eröffnet worden und das SEM sei in der angefochtenen Verfügung seiner Begründungspflicht nicht nachgekommen.</w:t>
      </w:r>
    </w:p>
    <w:p>
      <w:r>
        <w:rPr>
          <w:b/>
        </w:rPr>
        <w:t>E. 3.2</w:t>
      </w:r>
    </w:p>
    <w:p>
      <w:r>
        <w:t>Kernelement des rechtlichen Gehörs ist das Recht auf vorgängige Äusserung und Anhörung, welches den Betroffenen einen Einfluss auf die Ermittlung des wesentlichen Sachverhalts sichert. Die Behörde muss diese Äusserungen zur Kenntnis nehmen und sich damit in der Entscheidfindung und -begründung sachgerecht auseinandersetzen (vgl. statt vieler Waldmann/Bickel, in: Waldmann/Weissenberger [Hrsg.], Praxiskommentar VwVG, 2. Aufl. 2016 [nachfolgend: Praxiskommentar VwVG], Art. 30 Rz. 15 ff., m.H.).</w:t>
      </w:r>
    </w:p>
    <w:p>
      <w:r>
        <w:rPr>
          <w:b/>
        </w:rPr>
        <w:t>E. 3.3</w:t>
      </w:r>
    </w:p>
    <w:p>
      <w:r>
        <w:t>Anlässlich der polizeilichen Einvernahme vom 1. Juni 2016, welche mit Hilfe eines Dolmetschers erfolgte, wurde der Beschwerdeführerin Gelegenheit gegeben, zum beabsichtigten Einreiseverbot Stellung zu nehmen. Die Beschwerdeführerin gab zu Protokoll, vom Erlass einer allfälligen Fernhaltemassnahme für die Schweiz respektive den gesamten Schengen-Raum Kenntnis genommen zu haben (SEM act. 1/1, S. 3, Ziff. 3). Das gesamte Protokoll wurde von der Betroffenen und dem Übersetzer signiert (SEM act. 1/1-3). Daraus ist zu schliessen, dass die Beschwerdeführerin auf weitergehende Ausführungen verzichtet hat. Aus den Akten sind keine Anhaltspunkte erkennbar, die auf eine falsche Übersetzung schliessen lassen. Die diesbezüglichen Ausführungen der Beschwerdeführerin wirken unglaubhaft (vgl. dazu BVGer act. 13/Beilage 5, S. 5 ff., Ziff. 17 ff.). Ferner besteht kein Anspruch auf Übersetzung von Verfügungen in die Muttersprache. Ebenso ist die Delegation der Anhörung an die Kantonspolizei, die der gängigen Praxis entspricht, nicht zu beanstanden (vgl. zum Ganzen Urteil des BVGer C-4489/2013 vom 23. Januar 2014 E. 3.3 f. m.w.H.). Insoweit ist keine Gehörsverletzung erkennbar.</w:t>
      </w:r>
    </w:p>
    <w:p>
      <w:r>
        <w:rPr>
          <w:b/>
        </w:rPr>
        <w:t>E. 3.4</w:t>
      </w:r>
    </w:p>
    <w:p>
      <w:r>
        <w:t>Insgesamt ist die Begründung der Vorinstanz in der angefochtenen Verfügung mit Verweis auf den Strafbefehl vom 2. Juni 2016 knapp ausgefallen. Mit der Erwähnung von Art. 67 AuG wurde zudem die konkrete Gesetzesbestimmung, auf welche sich das SEM beim Erlass der Verfügung stützte, nur bedingt dargetan. Dessen ungeachtet sind keine Anhaltspunkte erkennbar, die dafür sprechen würden, dass sich die Vorinstanz unzureichend mit dem Strafbefehl oder den übrigen kantonalen Akten auseinandergesetzt hätte. Die Beschwerdeführerin hat sich anlässlich der Anhörung nicht zu privaten Interessen geäussert, weshalb sich eine ausführlichere Auseinandersetzung erübrigte. Zu berücksichtigen ist ferner, dass Einreiseverbote zu den quantitativ häufigsten Anordnungen der schweizerischen Verwaltungspraxis zählen und das SEM als erstinstanzliche Behörde speditiv zu entscheiden hat. An die Begründungsdichte dürfen deshalb keine überspannten Anforderungen gestellt werden (vgl. Urteil des BVGer C-535/2013 vom 9. Juli 2015 E. 3.3.1 m.H.). Wie die Beschwerdeschrift zu belegen vermag, war es der Beschwerdeführerin möglich, ein materiell begründetes Rechtsmittel gegen die Verfügung zu erheben (vgl. Urteil des BVGer C-2882/2015 vom 4. Februar 2016 E. 3.3.2).</w:t>
      </w:r>
    </w:p>
    <w:p>
      <w:r>
        <w:rPr>
          <w:b/>
        </w:rPr>
        <w:t>E. 3.5</w:t>
      </w:r>
    </w:p>
    <w:p>
      <w:r>
        <w:t>Zusammenfassend ist festzuhalten, dass die Vorinstanz den Anspruch der Beschwerdeführerin auf rechtliches Gehör nicht verletzt hat. Nachfolgend ist dementsprechend die Rechtmässigkeit des materiell-rechtlichen Gehalts der angefochtenen Verfügung zu prüfen.</w:t>
      </w:r>
    </w:p>
    <w:p>
      <w:r>
        <w:rPr>
          <w:b/>
        </w:rPr>
        <w:t>E. 4.1</w:t>
      </w:r>
    </w:p>
    <w:p>
      <w:r>
        <w:t>Gemäss Art. 67 Abs. 1 AuG verfügt das SEM unter Vorbehalt von Abs. 5 Einreiseverbote gegenüber weggewiesenen Ausländerinnen und Ausländern, wenn die Wegweisung nach Art. 64d Abs. 2 Bst. a - c sofort vollstreckt wird oder die betroffene Person der Ausreiseverpflichtung nicht innert angesetzter Frist nachgekommen ist. Nach Art. 67 Abs. 2 AuG kann das SEM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(Art. 75-78 AuG)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ausnahmsweise aus humanitären oder anderen wichtigen Gründen von der Verhängung eines Einreiseverbots absehen oder ein Einreiseverbot vollständig oder vorübergehend aufheben (Art. 67 Abs. 5 AuG).</w:t>
      </w:r>
    </w:p>
    <w:p>
      <w:r>
        <w:rPr>
          <w:b/>
        </w:rPr>
        <w:t>E. 4.2</w:t>
      </w:r>
    </w:p>
    <w:p>
      <w:r>
        <w:t>Das Einreiseverbot bildet eine Massnahme zur Abwendung einer künftigen Störung der öffentlichen Sicherheit und Ordnung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insbesondere vor, wenn gesetzliche Vorschriften oder behördliche Verfügungen missachtet werden (vgl. Art. 80 Abs. 1 Bst. a der Verordnung vom 24. Oktober 2007 über Zulassung, Aufenthalt und Erwerbstätigkeit [VZAE, SR 142.201]). Unter diese Begriffsbestimmung fallen auch Widerhandlungen gegen Normen des Ausländerrechts. Eine Gefährdung liegt vor, wenn konkrete Anhaltspunkte dafür bestehen, dass der Aufenthalt der betroffenen Person in der Schweiz mit erheblicher Wahrscheinlichkeit zu einem Verstoss gegen die öffentliche Sicherheit und Ordnung führt (Art. 80 Abs. 2 VZAE).</w:t>
      </w:r>
    </w:p>
    <w:p>
      <w:r>
        <w:rPr>
          <w:b/>
        </w:rPr>
        <w:t>E. 5.1</w:t>
      </w:r>
    </w:p>
    <w:p>
      <w:r>
        <w:t>Die Vorinstanz erliess das Einreiseverbot gestützt auf Art. 67 AuG. Die Beschwerdeführerin sei gemäss Strafbefehl vom 2. Juni 2016 in der Schweiz ohne Bewilligung erwerbstätig gewesen. Dies stelle einen Verstoss gegen die Gesetzgebung dar, womit eine ernsthafte Gefährdung der öffentlichen Sicherheit und Ordnung einhergehe. Dem hält die Beschwerdeführerin entgegen, sie sei keiner Erwerbstätigkeit nachgegangen und habe ihre Cousine und deren Familie lediglich in der Schweiz besuchen wollen. Sie studiere in Serbien Tourismus und habe hierzulande ihre Deutschkenntnisse aufbessern wollen. Das Einreiseverbot habe keinerlei gesetzliche Grundlage und verletze das Willkürverbot nach Art. 9 BV. Es sei daher vollumfänglich aufzuheben.</w:t>
      </w:r>
    </w:p>
    <w:p>
      <w:r>
        <w:rPr>
          <w:b/>
        </w:rPr>
        <w:t>E. 5.2</w:t>
      </w:r>
    </w:p>
    <w:p>
      <w:r>
        <w:t>Als Erwerbstätigkeit im Sinne des Gesetzes gilt jede üblicherweise gegen Entgelt ausgeübte unselbstständige oder selbstständige Tätigkeit, selbst wenn sie im konkreten Einzelfall unentgeltlich erfolgt (Art. 11 Abs. 2 AuG). Eine Tätigkeit gilt dann als üblicherweise auf Entgelt gerichtet, wenn sie ihrer Art und ihrem Umfang nach auf dem schweizerischen Arbeits- und Dienstleistungsmarkt angeboten wird (vgl. Egli/Meyer, Handkommentar zum Bundesgesetz über die Ausländerinnen und Ausländer, 2010, Art. 11 Rz. 6). Ohne Belang für die Qualifikation als Erwerbstätigkeit ist dabei, ob die Beschäftigung nur stunden- oder tageweise oder vorübergehend ausgeübt wird (Art. 1a Abs. 1 VZAE). Einschränkungen des Begriffs Erwerbstätigkeit können sich dort ergeben, wo der besondere Charakter der Hilfeleistung gerade durch die verwandtschaftliche und emotionale Nähe zwischen den Beteiligten gewährleistet ist, die ausführende Person daher nicht durch einen Dritten ersetzt werden könnte, ohne dass der besondere Charakter der Hilfeleistung verloren ginge (vgl. Urteil BVGer F-4130/2015 vom 16. September 2016 E. 6.2.2 m.H.).</w:t>
      </w:r>
    </w:p>
    <w:p>
      <w:r>
        <w:rPr>
          <w:b/>
        </w:rPr>
        <w:t>E. 5.3</w:t>
      </w:r>
    </w:p>
    <w:p>
      <w:r>
        <w:t>Gemäss Befragungsprotokoll bestätigte die Beschwerdeführerin, in die Schweiz gereist zu sein, um ihrer Cousine im Haushalt zu helfen sowie deren Kinder zu betreuen (kant. act. 2/5-7, Ziff. 20-22, 25, 38 f.). Sie sei sich zudem bewusst gewesen, dass sie in der Schweiz nicht hätte arbeiten dürfen (kant. act. 2/7 Ziff. 40 ff.). Auch wenn die Beschwerdeführerin im Anschluss diese Aussagen gestützt auf die angeblich falsche Übersetzung durch den Dolmetscher bestritt, ist angesichts der Aktenlage und der mittlerweile rechtskräftigen Verurteilung von einer unselbständigen Erwerbstätigkeit als Kindermädchen und Reinigungskraft ohne Bewilligung sowie einer damit einhergehenden rechtswidrigen Einreise und rechtswidrigem Aufenthalt auszugehen. Der Umstand, dass es sich um die Cousine handelt, kann angesichts der Art und Dauer der ausgeführten Tätigkeiten den Charakter einer Erwerbstätigkeit nicht in Frage stellen. Von einer "normalen verwandtschaftlichen Gefälligkeit" ist in der vorliegenden Streitsache nicht auszugehen (vgl. Urteil des BVGer C-7344/2014 vom 24. August 2015 E. 5.2.4). Die damals noch fehlende rechtskräftige Verurteilung der Beschwerdeführerin verunmöglichte im Weiteren nicht den Erlass des Einreiseverbots, das reine Verwaltungsmassnahme ist und keinen Strafcharakter aufweist (vgl. Urteil des BVGer F-4314/2016 vom 6. Juni 2017 E. 3; Botschaft, a.a.O., S. 3813).</w:t>
      </w:r>
    </w:p>
    <w:p>
      <w:r>
        <w:rPr>
          <w:b/>
        </w:rPr>
        <w:t>E. 5.4</w:t>
      </w:r>
    </w:p>
    <w:p>
      <w:r>
        <w:t>Vor dem aufgezeigten Hintergrund hat die Beschwerdeführerin angesichts ihrer Widerhandlungen gegen das Ausländergesetz einen Fernhaltegrund nach Art. 67 Abs. 2 Bst. AuG gesetzt. Angesichts der sofort vollstreckbaren Wegweisung - offensichtlich gestützt auf Bst. a von Art. 64d Abs. 2 AuG - und der angeordneten Ausschaffungshaft nach Art. 76 Abs. 1 AuG lagen weitere Voraussetzungen für die Verhängung eines Einreiseverbots nach Art. 67 Abs. 1 Bst. a AuG sowie Art. 67 Abs. 2 Bst. c AuG vor. Die von der Beschwerdeführerin gerügte Verletzung des Willkürverbots nach Art. 9 BV erweist sich somit als unbegründet.</w:t>
      </w:r>
    </w:p>
    <w:p>
      <w:r>
        <w:rPr>
          <w:b/>
        </w:rPr>
        <w:t>E. 6.1</w:t>
      </w:r>
    </w:p>
    <w:p>
      <w:r>
        <w:t>Die Beschwerdeführerin beantragt im Weiteren die Aufhebung der Ausschreibung des Einreiseverbots im SIS II.</w:t>
      </w:r>
    </w:p>
    <w:p>
      <w:r>
        <w:rPr>
          <w:b/>
        </w:rPr>
        <w:t>E. 6.2</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 Dezember 2006]). Voraussetzung der Ausschreibung im SIS ist eine nationale Ausschreibung, die gestützt auf eine Entscheidung der zuständigen nationalen Instanzen ergeht (Art. 24 Abs. 1 SIS-II-Verordnung). Eine Ausschreibung wird eingegeben, wenn die Entscheidung nach Absatz 1 auf die Gefahr für die öffentliche Sicherheit oder Ordnung oder die nationale Sicherheit gestützt wird, die die Anwesenheit des betreffenden Drittstaatsangehörigen im Hoheitsgebiet eines Mitgliedstaats darstellt (Art. 24 Abs. 2 SIS-II-Verordnung). Eine Ausschreibung kann nach Art. 24 Abs. 3 SIS-II Verordnung auch eingegeben werden, wenn die nationale Entscheidung darauf beruht, dass der Drittstaatsangehörige ausgewiesen, zurückgewiesen oder abgeschoben worden ist, wobei die Massnahme nicht aufgehoben oder ausgesetzt worden sein darf, ein Verbot der Einreise oder gegebenenfalls ein Verbot des Aufenthalts enthalten oder davon begleitet sein muss und auf der Nichtbeachtung der nationalen Rechtsvorschriften über die Einreise oder den Aufenthalt von Drittstaatsangehörigen beruhen muss.</w:t>
      </w:r>
    </w:p>
    <w:p>
      <w:r>
        <w:rPr>
          <w:b/>
        </w:rPr>
        <w:t>E. 6.3</w:t>
      </w:r>
    </w:p>
    <w:p>
      <w:r>
        <w:t>Die Ausschreibung des verfügten Einreiseverbots im SIS II erweist sich gestützt auf die illegale Erwerbstätigkeit und die Nichtbeachtung der nationalen Rechtsvorschriften über die Einreise und Aufenthalt durch die Beschwerdeführerin als grundsätzlich zulässig (vgl. Art. 21 i.V.m. Art. 24 SIS-II-VO).</w:t>
      </w:r>
    </w:p>
    <w:p>
      <w:r>
        <w:rPr>
          <w:b/>
        </w:rPr>
        <w:t>E. 7.1</w:t>
      </w:r>
    </w:p>
    <w:p>
      <w:r>
        <w:t>Es bleibt zu prüfen, ob das Einreiseverbot für die Schweiz und Liechtenstein sowie die Ausschreibung der Massnahme im SIS II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(vgl. statt vieler Häfelin et al., Allgemeines Verwaltungsrecht, 7. Aufl. 2016, Rz. 555 ff. m.w.H.).</w:t>
      </w:r>
    </w:p>
    <w:p>
      <w:r>
        <w:rPr>
          <w:b/>
        </w:rPr>
        <w:t>E. 7.2</w:t>
      </w:r>
    </w:p>
    <w:p>
      <w:r>
        <w:t>Die Beschwerdeführerin bringt insbesondere vor, dass sie nach Abschluss ihres Studiums als Reiseführerin arbeiten wolle. Entsprechend treffe sie das für den Schengen-Raum geltende Einreiseverbot übermässig schwer. Aufgrund ihrer äusserst engen Beziehung zu ihrer Cousine und deren Familie in der Schweiz werde ihr Recht auf Privat- und Familienleben nach Art. 10 BV und 8 EMRK verletzt. Die Vorinstanz erachtet demgegenüber aufgrund des überwiegenden öffentlichen Interesses an der Wahrung der Sicherheit und Ordnung ein dreijähriges Einreiseverbot für den gesamten Schengen-Raum als verhältnismässig.</w:t>
      </w:r>
    </w:p>
    <w:p>
      <w:r>
        <w:rPr>
          <w:b/>
        </w:rPr>
        <w:t>E. 7.3</w:t>
      </w:r>
    </w:p>
    <w:p>
      <w:r>
        <w:t>Angesichts des Verhaltens und der rechtskräftigen Verurteilung der Beschwerdeführerin ist auf eine Gefährdung der öffentlichen Sicherheit und Ordnung zu schliessen. An der Einhaltung der Rechtsordnung im Allgemeinen und der Vorschriften über Einreise, Aufenthalt und Erwerbstätigkeit im Besonderen besteht ein gewichtiges öffentliches Interesse. Die Beschwerdeführerin hat sich zwei Monate lang illegal in der Schweiz aufgehalten und damit über eine beachtliche Zeit hinweg ausländerrechtliche Normen missachtet. Die illegale Erwerbstätigkeit wurde erst durch polizeiliche Intervention unterbunden. Demnach besteht ein gewichtiges öffentliches Interesse an ihrer befristeten Fernhaltung (vgl. Urteil des BVGer C-1559/2011 vom 13. Juni 2012 E. 6.2 f.).</w:t>
      </w:r>
    </w:p>
    <w:p>
      <w:r>
        <w:rPr>
          <w:b/>
        </w:rPr>
        <w:t>E. 7.4</w:t>
      </w:r>
    </w:p>
    <w:p>
      <w:r>
        <w:t>Die Beschwerdeführerin ist gemäss Akten Studentin und lebt bei ihren Eltern in Belgrad (vgl. BVGer act. 13/Beilage 5, S. 9, Antwort auf Ziff. 53). Obwohl es nachvollziehbar ist, dass die Beschwerdeführerin die Beziehung zu ihrer in der Schweiz lebenden Cousine und deren Familie subjektiv als wichtig erachtet, erweist sich die mit dem Einreiseverbot einhergehende Erschwernis des Kontakts gerechtfertigt. Es scheint ihr zumutbar, diese Beziehung auf andere Weise zu pflegen (z.B. WhatsApp, Briefverkehr, Telefonate). Auch die von der Beschwerdeführerin befürchteten Konsequenzen für ihre berufliche Zukunft sind nicht als überwiegende private Interessen zu erachten. Sie beabsichtigt, künftig in Belgrad als Touristenführerin zu arbeiten. Allfällige Folgen des Einreiseverbots mit Geltung für den gesamten Schengen-Raum für ihre berufliche Zukunft konnte sie sodann selber nicht abschätzen und wären ihr - angesichts ihrer illegalen Erwerbstätigkeit in der Schweiz - zumutbar (vgl. BVGer act. 13/Beilage 5, S. 10, Antwort auf Ziff. 55). Inwiefern der Schutzbereich von Art. 8 Ziff. 1 EMRK beziehungsweise Art. 13 Abs. 1 BV im vorliegenden Fall tangiert sein sollte, ist im Übrigen nicht ersichtlich.</w:t>
      </w:r>
    </w:p>
    <w:p>
      <w:r>
        <w:rPr>
          <w:b/>
        </w:rPr>
        <w:t>E. 7.5</w:t>
      </w:r>
    </w:p>
    <w:p>
      <w:r>
        <w:t>Eine wertende Gewichtung der sich gegenüberstehenden öffentlichen und privaten Interessen führt das Gericht zum Schluss, dass das dreijährige Einreiseverbot für den gesamten Schengen-Raum verhältnismässig und angemessen ist (vgl. insbesondere Urteil des BVGer C-1559/2011 vom 13. Juni 2012 E. 6).</w:t>
      </w:r>
    </w:p>
    <w:p>
      <w:r>
        <w:rPr>
          <w:b/>
        </w:rPr>
        <w:t>E. 8</w:t>
      </w:r>
    </w:p>
    <w:p>
      <w:r>
        <w:t>Aus diesen Erwägungen ergibt sich, dass die angefochtene Verfügung im Lichte von Art. 49 VwVG nicht zu beanstanden ist. Die Beschwerde ist deshalb abzuweisen.</w:t>
      </w:r>
    </w:p>
    <w:p>
      <w:r>
        <w:rPr>
          <w:b/>
        </w:rPr>
        <w:t>E. 9</w:t>
      </w:r>
    </w:p>
    <w:p>
      <w:r>
        <w:t>Entsprechend dem Ausgang des Verfahrens sind die Kosten in Höhe von Fr. 1'000.- der Beschwerdeführerin aufzuerlegen (Art. 63 Abs. 1 VwVG i.V.m. Art. 1 ff. des Reglements vom 21. Februar 2008 über die Kosten und Entschädigungen vor dem Bundesverwaltungsgericht [VGKE, SR 173.320.2]). Sie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