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F-4154/2023 vom 5. Juni 2024</w:t>
      </w:r>
    </w:p>
    <w:p>
      <w:r>
        <w:t>Bundesverwaltungsgericht, 2024-06-05, DE</w:t>
      </w:r>
    </w:p>
    <w:p>
      <w:r>
        <w:rPr>
          <w:b/>
        </w:rPr>
        <w:t xml:space="preserve">Quelle: </w:t>
      </w:r>
      <w:r>
        <w:t>https://mcp.opencaselaw.ch/entscheid/bvger_F-4154_2023</w:t>
      </w:r>
    </w:p>
    <w:p>
      <w:r>
        <w:t>FR: TAF F-4154/2023 du 5 juin 2024</w:t>
      </w:r>
    </w:p>
    <w:p>
      <w:r>
        <w:t>IT: TAF F-4154/2023 del 5 giugno 2024</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t>F-4154/2023 Seite 3</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angesichts der gestellten Rechtsbegehren auf ein fortbestehendes Rechtsschutzinteresse geschlossen werden. Der Beschwerdeführer ist daher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 heblichen Sachverhalts und – sofern nicht eine kantonale Behörde als Beschwerdeinstanz verfügt hat – die Unangemessenheit gerügt werden (Art. 49 VwVG). Das Bundesverwaltungsgericht wendet im Beschwerde- verfahren das Bundesrecht von Amtes wegen an. Massgebend sind grund- sätzlich die tatsächlichen Verhältnisse zum Zeitpunkt seines Entscheids (vgl. BVGE 2020 VII/4 E. 2.2).</w:t>
      </w:r>
    </w:p>
    <w:p>
      <w:r>
        <w:rPr>
          <w:b/>
        </w:rPr>
        <w:t>E. 3.1</w:t>
      </w:r>
    </w:p>
    <w:p>
      <w:r>
        <w:t>Dem angefochtenen Entscheid liegt das Gesuch einer sri-lankischen Staatsangehörigen um Erteilung von Visa für Besuchszwecke in der Schweiz zugrunde. Da sie sich nicht auf die EU/EFTA-Personenfreizügig- keitsabkommen berufen können und die beabsichtigte Aufenthaltsdauer 90 Tage nicht überschreitet, fällt die vorliegende Streitsache in den Anwen- dungsbereich der Schengen-Assoziierungsabkommen, mit denen die Schweiz den Schengen-Besitzstand und die dazugehörigen gemein- 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w:t>
      </w:r>
    </w:p>
    <w:p>
      <w:r>
        <w:t>F-4154/2023 Seite 4 insoweit ein, als es einheitliche Voraussetzungen für Einreise und Visum aufstellt und die Mitgliedstaaten verpflichtet, die Einreise beziehungsweise das Visum zu verweigern, wenn die Voraussetzungen nicht erfüllt sind. Ei- nen Anspruch auf Einreise beziehungsweise Visum vermittelt aber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keine Gefahr für die öffentliche Ordnung, die innere Sicherheit, die öffentliche Gesundheit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 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 vom 15. September 2009]).</w:t>
      </w:r>
    </w:p>
    <w:p>
      <w:r>
        <w:rPr>
          <w:b/>
        </w:rPr>
        <w:t>E. 3.4</w:t>
      </w:r>
    </w:p>
    <w:p>
      <w:r>
        <w:t>Eine drittstaatsangehörige Person muss für ihre fristgerechte Wiederausreise Gewähr bieten (Art. 5 Abs. 2 AIG). Wenn sie nicht bereit ist, das Hoheitsgebiet des Schengen-Raums fristgerecht wieder zu verlas- sen, ist von einer Gefahr für die öffentliche Ordnung im Sinne von Art. 6 Abs. 1 Bst. e SGK auszugehen (BVGE 2014/1 E. 4.3; 2011/48 E. 4.5). Die Behörden haben daher zu prüfen und die gesuchstellende Person hat dem- entsprechend zu belegen, dass die Gefahr einer rechtswidrigen Einwande- rung oder einer nicht fristgerechten Ausreise nicht besteht respektive Ge- währ für die gesicherte Wiederausreise geboten wird (vgl. Art. 14 Abs. 1 Bst. d VK; Art. 21 Abs. 1 VK; BVGE 2014/1 E. 4.4). Das Visum ist zu</w:t>
      </w:r>
    </w:p>
    <w:p>
      <w:r>
        <w:t>F-4154/2023 Seite 5 verweigern, wenn begründete Zweifel an der Echtheit der von der gesuch- stellenden Person eingereichten Belege oder am Wahrheitsgehalt ihres In- halts, an der Glaubwürdigkeit ihrer Aussagen oder der von ihr bekundeten Absicht bestehen, das Hoheitsgebiet der Mitgliedstaaten vor Ablauf der Gültigkeit des beantragten Visums zu verlassen (Art. 32 Abs. 1 Bst. b VK).</w:t>
      </w:r>
    </w:p>
    <w:p>
      <w:r>
        <w:rPr>
          <w:b/>
        </w:rPr>
        <w:t>E. 4</w:t>
      </w:r>
    </w:p>
    <w:p>
      <w:r>
        <w:t>Strittig und zu prüfen ist vorliegend, inwieweit die Gesuchstellerin Gewähr für eine fristgerechte Wiederausreise aus dem Schengen-Raum bietet. Ausser Frage steht dabei die gegebene Visumpflicht.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4.2</w:t>
      </w:r>
    </w:p>
    <w:p>
      <w:r>
        <w:t>Die Gesuchstellerin lebt in (…), einer Stadt in der Nordprovinz Sri Lan- kas (Vorakten [SEM-act.) pag. 45). Sri Lanka leidet an einer Wirtschafts- und Finanzkrise. Im ganzen Land besteht laut dem Eidgenössischen De- partement für auswärtige Angelegenheiten (EDA) aufgrund politischer, re- ligiöser und sozialer Spannungen die Gefahr von gewaltsamen Ausschrei- tungen und Streiks. Es kann zu Engpässen bei der Versorgung mit Medi- kamenten, Strom, Treibstoff und Gütern des täglichen Bedarfs kommen (vgl. https://www.eda.admin.ch/eda/de/home/vertretungen-und-reisehin- weise/sri-lanka/reisehinweise-fuersrilanka.html#eda57892d, abgerufen im Mai 2024). Auf dem Index der menschlichen Entwicklung, der durch das</w:t>
      </w:r>
    </w:p>
    <w:p>
      <w:r>
        <w:t>F-4154/2023 Seite 6 Entwicklungsprogramm der Vereinten Nationen im Sinne eines Wohl- standsindikators erstellt wird, belegt Sri Lanka Platz 78 von 191 gelisteten Staaten (vgl. Human Development Report 2023-24; &lt;https://hdr.undp.org/content/human-development-report-2023-24&gt;). Zutreffend führt die Vorinstanz daher an, die Gesuchstellerin stamme aus einem Land, aus welchem der Zuwanderungsdruck – primär infolge wirt- schaftlicher Not – nach wie vor stark anhalte (vgl. dazu Urteile des BVGer F-3242/2023 vom 16. Februar 2024 E. 4.2; F-5515/2022 vom 3. Januar 2024 E. 6.2; je m.w.H.). Somit ist nicht zu beanstanden, dass die Vorinstanz das Risiko einer nicht fristgerechten Ausreise als allgemein hoch ein- schätzt.</w:t>
      </w:r>
    </w:p>
    <w:p>
      <w:r>
        <w:rPr>
          <w:b/>
        </w:rPr>
        <w:t>E. 4.3</w:t>
      </w:r>
    </w:p>
    <w:p>
      <w:r>
        <w:t>Bei der Gesuchstellerin handelt es sich den Akten zufolge, um eine 56-jährige, verheiratete Frau. Sie ist Mutter von vier volljährigen Töchtern, von denen drei in Sri Lanka – davon zwei im elterlichen Haushalt – leben (SEM-act. pag. 95; 39). Eine weitere Tochter (ZEMIS-Nr. […]) lebt mit ihren drei minderjährigen Kindern in der Schweiz und wurde gemäss ZEMIS- Auskunft hier als Flüchtling aufgenommen. Beachtenswert ist hierbei, dass die Gesuchstellerin im «Questionnaire for a Schengen Visa» angibt, nur zwei Töchter zu haben, welche beide in Sri Lanka leben, und auch nur bezüglich dieser Geburtsurkunden eingereicht hat (vgl. SEM-act. pag. 39; 60; 62). Ihre in der Schweiz lebende Tochter sowie eine weitere in Sri Lanka lebende Tochter werden erstmals im Zuge der Inlandsabklärung durch den Beschwerdeführer explizit erwähnt (vgl. SEM-act. pag. 95). Aufgrund des- sen, dass die Gesuchstellerin die Existenz ihrer in der Schweiz lebenden Tochter auf dem Fragebogen nicht angeführt hat, hat die Botschaft die An- gaben in ihrem persönlichem Visumsgesuch vom 22. Februar 2023 «… to visit Switzerland for the purpose of my daughters confinement» offensicht- lich falsch interpretiert und stattdessen der Ehefrau des Beschwerdefüh- rers eine Schwangerschaft attestiert (vgl. SEM-act. pag. 38; 40). Dies ob- wohl laut ZEMIS die Tochter der Gesuchstellerin Ende April 2023 und somit während des beantragten Aufenthalts entbunden hat. Die Gesuchstellerin wurde im Fragebogen darauf hingewiesen, dass falsche oder unvollstän- dige Informationen zur Ablehnung des Visumsantrages führen können. Sie unterschrieb den von ihr – offenkundig unvollständig ausgefüllten – Frage- bogen dennoch (SEM-act. pag. 39). Die Gesuchstellerin hat ferner sechs Schwestern, wobei drei davon in Sri Lanka leben und sie laut Beschwerde engen Kontakt zu diesen pflegt (vgl. Akten im Beschwerdeverfahren [BVGer-act.] 1, SEM-act. pag. 95). Zwei</w:t>
      </w:r>
    </w:p>
    <w:p>
      <w:r>
        <w:t>F-4154/2023 Seite 7 weitere Schwestern leben in der Schweiz und eine in Kanada (SEM-act. pag. 95). Der Verbleib ihres Ehemanns im Heimatland lässt auf eine gewisse famili- äre Verantwortung der Gesuchstellerin in Sri Lanka schliessen. Eine der- artige Verantwortung kann zwar eine mögliche, indes keine hinreichende Gewähr für eine anstandslose Wiederausreise bieten (vgl. BVGE 2014/1 E. 6.3.1; 2009/27 E. 8). Die Erfahrung hat gezeigt, dass zurückbleibende nahe Angehörige gerade in Situationen angespannter wirtschaftlicher und/oder politischer Verhältnisse gesuchstellende Personen regelmässig nicht verlässlich davon abhalten, den Entschluss für eine Emigration zu fällen, sei dies etwa in der Hoffnung, die Zurückgebliebenen aus dem Aus- land effizienter zu unterstützen oder später allenfalls gar nachziehen zu können (vgl. statt vieler: Urteil des BVGer F-4659/2023 vom 19. Januar 2024 E. 7.5.1). Dafür spricht, dass die Gesuchstellerin gemäss Abklärun- gen des EDA in einem Land mit besonders hohem Migrationsdruck lebt (siehe E. 4.2 hiervor). In Hinblick auf die in Sri Lanka verbleibenden Töchter gilt anzumerken, dass diese volljährig sind. Gemäss Rechtsprechung bildet selbst das Zurücklassen von minderjährigen Kindern für sich allein noch keine Garantie für eine anstandslose und fristgerechte Wiederausreise nach einem Besuchsaufenthalt (vgl. Urteil des BVGer F-350/2023 vom 1. Dezember 2023 E. 8.2.1 m.w.H.). Dass der Gesuchstellerin besondere beziehungsweise über das übliche Mass hinausgehende gesellschaftliche oder familiäre Verpflichtungen obliegen würden, ist nicht ersichtlich und wird auch nicht geltend gemacht. Insbesondere sind die familiären Ver- pflichtungen – wie die Vorinstanz treffend festhält – auch mit Blick auf die lange Dauer des geplanten Aufenthalts zu relativieren. Zu berücksichtigen ist ferner, dass entgegen dem Beschwerdevorbringen sich die Familie der Gesuchstellerin nicht (nur) in Sri Lanka befindet. Sie besitzt in der Schweiz durch ihre hier lebende Tochter samt Enkelkindern, ihren Schwestern und dem Stiefneffen – welchen sie gemäss Einladungs- schreiben grossgezogen hat (SEM-act. pag. 31) –, ein vorbestehendes fa- miliäres Beziehungsnetz, was das Emigrationsrisiko erhöht.</w:t>
      </w:r>
    </w:p>
    <w:p>
      <w:r>
        <w:rPr>
          <w:b/>
        </w:rPr>
        <w:t>E. 4.4</w:t>
      </w:r>
    </w:p>
    <w:p>
      <w:r>
        <w:t>Zu der beruflichen Tätigkeit der Gesuchstellerin liegen divergierende Angaben vor. In ihrem Gesuch vom 16. März 2023 gab sie diesbezüglich lediglich an, Hausfrau zu sein (vgl. SEM-act. pag. 45). Im gleichentags aus- gefüllten «Questionnaire for a Schengen Visa» tätigte sie, befragt zu ihrem Beruf und der Anstellungsdauer, keine Angaben (SEM-act. pag. 39). In ei- nem von ihr am 16. Februar 2023 verfassten und von einer weiteren</w:t>
      </w:r>
    </w:p>
    <w:p>
      <w:r>
        <w:t>F-4154/2023 Seite 8 Person unterschriebenen Schreiben (SEM-act. pag. 55) behauptete sie hingegen, dass sie von ihrer Anstellung, von Kokospalmen, einer Hühner- farm und anderen Ernten ein monatliches Einkommen von LKR 50'000.– generiere. Dies entspricht heute rund Fr. 150.– (berechnet anhand des Wechselkurses vom 16. Mai 2024 [0,003004 Schweizer Franken pro Sri- Lanka-Rupie; &lt;https://www.exchange-rates.org/de/umrechner/lkr-chf&gt;, ab- gerufen im Mai 2024]). Der Beschwerdeführer führte wiederrum in seiner Einsprache sowie in seiner Beschwerde an, dass die Gesuchstellerin seit mehreren Jahren staatliche Mitarbeiterin (Putzfrau) bei einem Bevölke- rungsamt sei und legte eine angebliche Arbeitsbestätigung des Amtes vom 27. März 2023 in Kopie vor. Insgesamt bleibt für das erkennende Gericht die berufliche Situation der Gesuchstellerin aufgrund der sich widersprechenden Angaben unklar. Es ist nicht nachvollziehbar, wieso die Gesuchstellerin die behauptete lang- jährige Anstellung sowohl im Gesuchformular als auch im Fragebogen ver- schweigen sollte. Auch ist eine Überprüfung der Authentizität der Kopie der Arbeitsbescheinigung nicht möglich, womit deren Beweiskraft gering ist. Es gelang ihr zusammenfassend nicht, die von dem Beschwerdeführer gel- tend gemachte Anstellung nachzuweisen. Selbst wenn das Vorbringen der Wahrheit entsprechen würde, ist davon auszugehen, dass sie in ihrer Funktion als Putzfrau in Sri Lanka wohl lediglich einen für Schweizer Ver- hältnisse tiefen Jahreslohn erwirtschaften wird. Lohnunterlagen zu der be- haupteten Anstellung wurden nicht eingereicht. Die geltend gemachten Ernteerträge sind wohl auf eine Beteiligung an den Gewinnen ihres Ehemannes zurückzuführen, da dieser gemäss Inlandsab- klärung Landwirt ist und sie ihm bei der Tätigkeit hilft (SEM-act. pag. 94). Jedoch sind auch diese Zahlen nicht belegt und überdies ist nicht klar, wie- viel von den behaupteten LKR 50'000.– auf den angeblichen Lohn und wie- viel auf die landwirtschaftlichen Gewinne entfallen soll. Die nicht belegte Erwerbstätigkeit der Gesuchstellerin sowie pauschal be- haupteten Einnahmen aus Unterstützungstätigkeiten in der Landwirtschaft bilden sohin keine hinreichende Gewähr für eine anstandslose Wiederaus- reise.</w:t>
      </w:r>
    </w:p>
    <w:p>
      <w:r>
        <w:rPr>
          <w:b/>
        </w:rPr>
        <w:t>E. 4.5</w:t>
      </w:r>
    </w:p>
    <w:p>
      <w:r>
        <w:t>Hinsichtlich des geltend gemachten Grundeigentums (SEM-act. pag. 9 –10; 56; 54 – 51) gilt es zu bedenken, dass solches keine hinreichende Gewähr für eine fristgerechte und anstandslose Wiederausreise der Ge- suchstellerin bietet, da im Fall einer Migration derartige Vermögenswerte</w:t>
      </w:r>
    </w:p>
    <w:p>
      <w:r>
        <w:t>F-4154/2023 Seite 9 nicht verloren gehen würden (Urteil des BVGer F-4758/2018 vom 14. April 2020 E. 6.3.2 m.w.H.). Aus einem der Schweizer Botschaft in Colombo eingereichten Kontoaus- zug lässt sich weiter entnehmen, dass die Gesuchstellerin per</w:t>
      </w:r>
    </w:p>
    <w:p>
      <w:r>
        <w:rPr>
          <w:b/>
        </w:rPr>
        <w:t>E. 4.6</w:t>
      </w:r>
    </w:p>
    <w:p>
      <w:r>
        <w:t>Somit können der Gesuchstellerin keine familiären und beruflichen Ver- pflichtungen oder Abhängigkeiten attestiert werden, die hinreichende Ge- währ für eine fristgerechte Wiederausreise bieten könnten. Das Risiko, dass sie – einmal in die Schweiz eingereist – vom zuvor deklarierten Auf- enthaltszweck abweichen und versuchen könnte, diesen auf eine neue Ba- sis zu stellen, ist als relativ hoch einzuschätzen. Dies auch unter Berück- sichtigung der Tatsache, dass die Gesuchstellerin hinsichtlich ihrer familiä- ren und beruflichen Verhältnisse unvollständige beziehungsweise falsche Angaben getätigt hat. 5. Die Vorinstanz ging vor diesem Hintergrund zu Recht davon aus, die frist- gerechte Wiederausreise der Gesuchstellerin sei nicht hinreichend gesi- chert. An dieser Einschätzung vermögen auch die vom Beschwerdeführer garantierte Rückreise und die unterschriebene Verpflichtungserklärung so- wie sein verständlicher Wunsch die Gesuchstellerin bei seiner Hochzeit zu haben, nichts zu ändern. Der Beschwerdeführer kann zwar als Gastgeber mit rechtlich verbindlicher Wirkung für gewisse finanzielle Risiken im Zu- sammenhang mit dem Besuchsaufenthalt, nicht aber für ein bestimmtes Verhalten der eingeladenen Person einstehen (vgl. BVGE 2014/1 E. 6.3.7 und BVGE 2009/27 E. 9). Gründe humanitärer oder anderer Art, welche die Erteilung eines Visums mit räumlich beschränkter Gültigkeit rechtfertigen würden, wurden von ihm nicht geltend gemacht und sind auch nicht</w:t>
      </w:r>
    </w:p>
    <w:p>
      <w:r>
        <w:t>F-4154/2023 Seite 10 ersichtlich. Die Vorinstanz hat das nachgesuchte Visum für den Schengen- Raum folglich zu Recht verweigert. 6. Aus vorstehenden Erwägungen folgt, dass die angefochtene Verfügung im Lichte von Art. 49 VwVG nicht zu beanstanden ist. Die Beschwerde ist ab- zuweisen. 7. Bei diesem Ausgang des Verfahrens sind die Kosten dem unterliegenden Beschwerdeführer aufzuerlegen (vgl. Art. 63 Abs. 1 VwVG i.V.m. Art. 1 ff. des Reglements vom 21. Februar 2008 über die Kosten und Entschädigun- gen vor dem Bundesverwaltungsgericht [VGKE, SR 173.320.2]). Sie sind durch den in gleicher Höhe geleisteten Kostenvorschuss gedeckt. Ausgangsgemäss ist keine Parteientschädigung zuzusprechen (Art. 64 Abs. 1 VwVG e contrario). 8. In der vorliegenden Beschwerdeangelegenheit entscheidet das Bundes- verwaltungsgericht endgültig (Art. 83 Bst. c Ziff. 1 BGG). (Dispositiv nächste Seite)</w:t>
      </w:r>
    </w:p>
    <w:p>
      <w:r>
        <w:t>F-4154/2023 Seite 11</w:t>
      </w:r>
    </w:p>
    <w:p>
      <w:r>
        <w:rPr>
          <w:b/>
        </w:rPr>
        <w:t>E. 5</w:t>
      </w:r>
    </w:p>
    <w:p>
      <w:r>
        <w:t>Die Vorinstanz ging vor diesem Hintergrund zu Recht davon aus, die frist-gerechte Wiederausreise der Gesuchstellerin sei nicht hinreichend gesichert. An dieser Einschätzung vermögen auch die vom Beschwerdeführer garantierte Rückreise und die unterschriebene Verpflichtungserklärung sowie sein verständlicher Wunsch die Gesuchstellerin bei seiner Hochzeit zu haben, nichts zu ändern. Der Beschwerdeführer kann zwar als Gastgeber mit rechtlich verbindlicher Wirkung für gewisse finanzielle Risiken im Zusammenhang mit dem Besuchsaufenthalt, nicht aber für ein bestimmtes Verhalten der eingeladenen Person einstehen (vgl. BVGE 2014/1 E. 6.3.7 und BVGE 2009/27 E. 9). Gründe humanitärer oder anderer Art, welche die Erteilung eines Visums mit räumlich beschränkter Gültigkeit rechtfertigen würden, wurden von ihm nicht geltend gemacht und sind auch nicht ersichtlich. Die Vorinstanz hat das nachgesuchte Visum für den Schengen-Raum folglich zu Recht verweigert.</w:t>
      </w:r>
    </w:p>
    <w:p>
      <w:r>
        <w:rPr>
          <w:b/>
        </w:rPr>
        <w:t>E. 6</w:t>
      </w:r>
    </w:p>
    <w:p>
      <w:r>
        <w:t>Aus vorstehenden Erwägungen folgt, dass die angefochtene Verfügung im Lichte von Art. 49 VwVG nicht zu beanstanden ist. Die Beschwerde ist abzuweisen.</w:t>
      </w:r>
    </w:p>
    <w:p>
      <w:r>
        <w:rPr>
          <w:b/>
        </w:rPr>
        <w:t>E. 7</w:t>
      </w:r>
    </w:p>
    <w:p>
      <w:r>
        <w:t>Bei diesem Ausgang des Verfahrens sind die Kosten dem unterliegenden Beschwerdeführer aufzuerlegen (vgl. Art. 63 Abs. 1 VwVG i.V.m. Art. 1 ff. des Reglements vom 21. Februar 2008 über die Kosten und Entschädigungen vor dem Bundesverwaltungsgericht [VGKE, SR 173.320.2]). Sie sind durch den in gleicher Höhe geleisteten Kostenvorschuss gedeckt. Ausgangsgemäss ist keine Parteientschädigung zuzusprechen (Art. 64 Abs. 1 VwVG e contrario).</w:t>
      </w:r>
    </w:p>
    <w:p>
      <w:r>
        <w:rPr>
          <w:b/>
        </w:rPr>
        <w:t>E. 8</w:t>
      </w:r>
    </w:p>
    <w:p>
      <w:r>
        <w:t>In der vorliegenden Beschwerdeangelegenheit entscheidet das Bundesverwaltungsgericht endgültig (Art. 83 Bst. c Ziff. 1 BGG). (Dispositiv nächste Seite)</w:t>
      </w:r>
    </w:p>
    <w:p>
      <w:r>
        <w:rPr>
          <w:b/>
        </w:rPr>
        <w:t>E. 9</w:t>
      </w:r>
    </w:p>
    <w:p>
      <w:r>
        <w:t>März 2023 über ein Schlussguthaben von LKR 516’721.71 (Fr. 1'551,40 mit op. cit. Wechselkurs) verfügte (SEM-act. pag. 72 – 76). Ob, bezie- hungsweise in welchem Ausmass, dieses Vermögen noch besteht, ist un- klar. Woher die beträchtliche Einzahlung (LKR 200’000.–) stammt, die am 8. März 2023 und damit zeitnahe zur Einreichung des Gesuches getätigt wurde, ist nicht erkennbar und sie lässt sich auch nicht anhand der behaup- teten Einkünfte erklären. Vor dem Hintergrund der diffus gebliebenen Vermögenssituation der Ge- suchstellerin sind auch in wirtschaftlicher Hinsicht keine Umstände auszu- machen, welche geeignet wären, das grundsätzlich anzunehmende Migra- tionsrisiko entscheidend zu relativieren.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