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F-4148/2018 vom 23. Mai 2019</w:t>
      </w:r>
    </w:p>
    <w:p>
      <w:r>
        <w:t>Bundesverwaltungsgericht, 2019-05-23, FR</w:t>
      </w:r>
    </w:p>
    <w:p>
      <w:r>
        <w:rPr>
          <w:b/>
        </w:rPr>
        <w:t xml:space="preserve">Quelle: </w:t>
      </w:r>
      <w:r>
        <w:t>https://mcp.opencaselaw.ch/entscheid/bvger_F-4148_2018</w:t>
      </w:r>
    </w:p>
    <w:p>
      <w:r>
        <w:t>FR: TAF F-4148/2018 du 23 mai 2019</w:t>
      </w:r>
    </w:p>
    <w:p>
      <w:r>
        <w:t>IT: TAF F-4148/2018 del 23 maggio 2019</w:t>
      </w:r>
    </w:p>
    <w:p>
      <w:pPr>
        <w:pStyle w:val="Heading2"/>
      </w:pPr>
      <w:r>
        <w:t>Regeste</w:t>
      </w:r>
    </w:p>
    <w:p>
      <w:r>
        <w:t>Interdiction d'entrée</w:t>
      </w:r>
    </w:p>
    <w:p>
      <w:pPr>
        <w:pStyle w:val="Heading2"/>
      </w:pPr>
      <w:r>
        <w:t>Erwägungen</w:t>
      </w:r>
    </w:p>
    <w:p>
      <w:r>
        <w:rPr>
          <w:b/>
        </w:rPr>
        <w:t>E. 2.1</w:t>
      </w:r>
    </w:p>
    <w:p>
      <w:r>
        <w:t>Seul a qualité pour former un recours de droit administratif celui qui a pris part à la procédure devant l'autorité inférieure, est spécialement atteint par la décision attaquée et a un intérêt digne de protection à son annulation ou à sa modification (art. 48 al. 1 PA).</w:t>
      </w:r>
    </w:p>
    <w:p>
      <w:r>
        <w:rPr>
          <w:b/>
        </w:rPr>
        <w:t>E. 2.2</w:t>
      </w:r>
    </w:p>
    <w:p>
      <w:r>
        <w:t>Le recourant, qui a recouru contre la décision du SEM du 17 août 2017 prononçant une interdiction d'entrée à son endroit, est directement concerné par dite décision (art. 48 al. 1 let. a et b PA).</w:t>
      </w:r>
    </w:p>
    <w:p>
      <w:r>
        <w:rPr>
          <w:b/>
        </w:rPr>
        <w:t>E. 2.3.1</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TF en matière de droit public, un intérêt actuel et pratique à obtenir l'annulation ou la modification de la décision attaquée (cf. ATAF 2010/27 consid. 1.3.2; 2009/9 consid. 1.2.1). Cet intérêt doit exister tant au moment du dépôt du recours qu'à celui où l'arrêt est rendu (cf. notamment ATF 142 I 135 consid. 1.3.1; ATAF 2010/27 consid. 1.3.2).</w:t>
      </w:r>
    </w:p>
    <w:p>
      <w:r>
        <w:rPr>
          <w:b/>
        </w:rPr>
        <w:t>E. 2.3.2</w:t>
      </w:r>
    </w:p>
    <w:p>
      <w:r>
        <w:t>En l'occurrence, le recours a été interjeté le 12 juillet 2018. Cependant le recourant n'a pas fourni de domicile de notification depuis son renvoi en Espagne le 12 juillet 2018. Se pose donc la question de savoir si celui-ci dispose encore d'un intérêt actuel à la poursuite de la procédure.</w:t>
      </w:r>
    </w:p>
    <w:p>
      <w:r>
        <w:rPr>
          <w:b/>
        </w:rPr>
        <w:t>E. 2.3.3</w:t>
      </w:r>
    </w:p>
    <w:p>
      <w:r>
        <w:t>Compte tenu de la jurisprudence du Tribunal fédéral en la matière, le TAF arrive à la conclusion qu'un tel intérêt subsiste à obtenir l'annulation ou la modification de la décision querellée (cf. l'arrêt de cassation du Tribunal fédéral en la cause 2C_656/2012 du 27 septembre 2012, où la Haute Cour a indiqué que : « Ni la loi sur le Tribunal administratif fédéral ni la PA ne connaissent de dispositions légales qui prévoient la possibilité de déclarer sans objet une cause au motif que le Tribunal "ne peut plus atteindre l'intéressé". » [cf. consid. 4]).</w:t>
      </w:r>
    </w:p>
    <w:p>
      <w:r>
        <w:rPr>
          <w:b/>
        </w:rPr>
        <w:t>E. 2.4</w:t>
      </w:r>
    </w:p>
    <w:p>
      <w:r>
        <w:t>Le recourant a donc qualité pour agir. Interjeté dans le respect des conditions relatives à la forme et au contenu du mémoire de recours (cf. art. 52 al. 1 PA), ainsi qu'aux autres conditions de recevabilité (cf. art. 46a ss PA), prescrites par la loi, le recours est recevable.</w:t>
      </w:r>
    </w:p>
    <w:p>
      <w:r>
        <w:rPr>
          <w:b/>
        </w:rPr>
        <w:t>E. 3.1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366s p. 132 et Moor, Flückiger et Martenet, op. cit., pt. 2.4.2.4 p. 194).</w:t>
      </w:r>
    </w:p>
    <w:p>
      <w:r>
        <w:rPr>
          <w:b/>
        </w:rPr>
        <w:t>E. 3.4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qui sera citée selon sa teneur valable jusqu'au 31 décembre 2018.</w:t>
      </w:r>
    </w:p>
    <w:p>
      <w:r>
        <w:rPr>
          <w:b/>
        </w:rPr>
        <w:t>E. 4.1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4.2</w:t>
      </w:r>
    </w:p>
    <w:p>
      <w:r>
        <w:t>Le Tribunal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4.3</w:t>
      </w:r>
    </w:p>
    <w:p>
      <w:r>
        <w:t>Dans son arrêt, il prend en considération l'état de fait et de droit existant au moment où il statue (ibid.).</w:t>
      </w:r>
    </w:p>
    <w:p>
      <w:r>
        <w:rPr>
          <w:b/>
        </w:rPr>
        <w:t>E. 5.1</w:t>
      </w:r>
    </w:p>
    <w:p>
      <w:r>
        <w:t>Dans ses conclusions, le recourant a sollicité du Tribunal l'octroi d'une autorisation de séjour UE/AELE de longue durée. Le Tribunal ne saurait donner suite à une telle requête. Les conclusions d'un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que celles qui en sortent ne sont, en principe, pas recevables (ATF 125 V 413 consid. 1 et la jurisprudence citée).</w:t>
      </w:r>
    </w:p>
    <w:p>
      <w:r>
        <w:rPr>
          <w:b/>
        </w:rPr>
        <w:t>E. 5.2</w:t>
      </w:r>
    </w:p>
    <w:p>
      <w:r>
        <w:t>La seule décision formelle prise par le SEM dans le cas d'espèce est celle de l'interdiction d'entrée du 17 août 2017. La requête tendant à l'obtention d'une autorisation de séjour UE/AELE de longue durée n'a fait l'objet d'aucune décision de la part de l'autorité inférieure, si bien que la conclusion du recourant tendant à l'obtention d'une telle autorisation n'est pas recevable.</w:t>
      </w:r>
    </w:p>
    <w:p>
      <w:r>
        <w:rPr>
          <w:b/>
        </w:rPr>
        <w:t>E. 5.3</w:t>
      </w:r>
    </w:p>
    <w:p>
      <w:r>
        <w:t>Dans le cas d'espèce, le Tribunal limitera donc son examen à la décision d'interdiction d'entrée du 17 août 2017.</w:t>
      </w:r>
    </w:p>
    <w:p>
      <w:r>
        <w:rPr>
          <w:b/>
        </w:rPr>
        <w:t>E. 6.1</w:t>
      </w:r>
    </w:p>
    <w:p>
      <w:r>
        <w:t>Dans ses conclusions, le recourant a implicitement sollicité du Tribunal l'annulation de l'interdiction d'entrée qui le frappe. L'interdiction d'entrée, qui permet d'empêcher l'entrée ou le retour en Suisse (respectivement dans l'Espace Schengen) d'un étranger dont le séjour y est indésirable, est régie par l'art. 67 LEtr, dans sa teneur en vigueur depuis le 1er janvier 2011 (RO 2010 5925 [5929, 5933]). Selon cette disposition,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w:t>
      </w:r>
    </w:p>
    <w:p>
      <w:r>
        <w:rPr>
          <w:b/>
        </w:rPr>
        <w:t>E. 6.2</w:t>
      </w:r>
    </w:p>
    <w:p>
      <w:r>
        <w:t>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6.3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w:t>
      </w:r>
    </w:p>
    <w:p>
      <w:r>
        <w:rPr>
          <w:b/>
        </w:rPr>
        <w:t>E. 6.4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arrêts du TF 6B_173/2013 du 19 août 2013 consid. 2.3, 2C_36/ 2009 du 20 octobre 2009 consid. 3.4; Message LEtr du 8 mars 2012, p. 3568 ad art. 66 du projet).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2008/24 consid. 4.2; arrêt du TAF C-6383/2014 du 6 juin 2016 consid. 5.2, et la jurisprudence citée). Dans ce contexte, il sied de relever que le critère du risque de récidive, qui constitue un élément d'appréciation central en présence de ressortissants d'Etats parties à l'ALCP, a une portée moindre en présence de ressortissants d'Etat tiers (cf. ATF 139 II 121 consid. 6.1, 136 II 5 consid. 4.2; arrêt du TAF C-1542/2015 du 27 janvier 2016 consid. 3.2).</w:t>
      </w:r>
    </w:p>
    <w:p>
      <w:r>
        <w:rPr>
          <w:b/>
        </w:rPr>
        <w:t>E. 6.5</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 ATAF 2017 VII/2 consid. 4.5; cf. Zünd/Arquint Hill, Beendigung der Anwesenheit, Entfernung und Fernhaltung, in: Uebersax/Rudin/Hugi Yar/Geiser [éd.], Ausländerrecht, Bâle 2009, p. 355 n. 8.80).</w:t>
      </w:r>
    </w:p>
    <w:p>
      <w:r>
        <w:rPr>
          <w:b/>
        </w:rPr>
        <w:t>E. 7.1</w:t>
      </w:r>
    </w:p>
    <w:p>
      <w:r>
        <w:t>Dans la mesure où le recourant possède la nationalité espagnole et, partant, est citoyen de l'un des Etats membres de l'Union européenne (UE), il importe de vérifier si la décision d'interdiction d'entrée prononcée à son égard est conforme à l'ALCP (arrêt du TF 2C_1045/2011 du 18 avril 2012 consid. 2.1 ; arrêt du TAF F-2522/2015 du 2 juin 2017 consid. 5).</w:t>
      </w:r>
    </w:p>
    <w:p>
      <w:r>
        <w:rPr>
          <w:b/>
        </w:rPr>
        <w:t>E. 7.2</w:t>
      </w:r>
    </w:p>
    <w:p>
      <w:r>
        <w:t>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7.3</w:t>
      </w:r>
    </w:p>
    <w:p>
      <w:r>
        <w:t>L'ALCP ne réglemente pas en tant que tel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w:t>
      </w:r>
    </w:p>
    <w:p>
      <w:r>
        <w:rPr>
          <w:b/>
        </w:rPr>
        <w:t>E. 7.4</w:t>
      </w:r>
    </w:p>
    <w:p>
      <w:r>
        <w:t>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7.5</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130 II 493 consid. 3.3).</w:t>
      </w:r>
    </w:p>
    <w:p>
      <w:r>
        <w:rPr>
          <w:b/>
        </w:rPr>
        <w:t>E. 7.6</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à savoir, le risque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w:t>
      </w:r>
    </w:p>
    <w:p>
      <w:r>
        <w:rPr>
          <w:b/>
        </w:rPr>
        <w:t>E. 7.7</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8.1</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w:t>
      </w:r>
    </w:p>
    <w:p>
      <w:r>
        <w:rPr>
          <w:b/>
        </w:rPr>
        <w:t>E. 8.2</w:t>
      </w:r>
    </w:p>
    <w:p>
      <w:r>
        <w:t>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8.3</w:t>
      </w:r>
    </w:p>
    <w:p>
      <w:r>
        <w:t>Toutefois, selon l'art. 67 al. 3 seconde phrase LEtr, l'interdiction d'entrée peut être prononcée pour une durée plus longue lorsque la personne concernée constitue une menace grave pour la sécurité et l'ordre publics, qui a été défini comme le palier II par le Tribunal fédéral (cf. ATF 139 II 121 consid. 6.2). Toutefois, sa durée sera limitée à 15 ans au maximum, ou à 20 ans en cas de récidive (cf. ATAF 2014/20 consid. 7).</w:t>
      </w:r>
    </w:p>
    <w:p>
      <w:r>
        <w:rPr>
          <w:b/>
        </w:rPr>
        <w:t>E. 8.4</w:t>
      </w:r>
    </w:p>
    <w:p>
      <w:r>
        <w:t>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Par rapport à la notion découlant de l'art. 5 annexe I ALCP (pour une casuistique afférente à la menace d'une certaine gravité, cf. arrêts du TF 2C_923/2012 du 26 janvier 2013 consid. 4.3.2 et 2C_238/2012 du 30 juillet 2012 consid. 3.1), le terme de menace grave de l'art. 67 al. 3 LEtr présuppose l'existence d'une menace caractérisée. Ce degré de gravité particulier, dont il est prévu que l'application demeurera exceptionnelle (cf. FF 2009 8043, p. 8058), doit s'examiner au cas par cas, en tenant compte de tous les éléments pertinents au dossier (cf. Marc Spescha, Migrations-recht-Kommentar, 4ème éd., 2015, ad art. 67 LEtr, n° 5a p. 271 s.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w:t>
      </w:r>
    </w:p>
    <w:p>
      <w:r>
        <w:rPr>
          <w:b/>
        </w:rPr>
        <w:t>E. 8.5</w:t>
      </w:r>
    </w:p>
    <w:p>
      <w:r>
        <w:t>Enfin, lorsque l'autorité administrative prononce une interdiction d'entrée, elle doit, d'une part, respecter les principes de proportionnalité (cf. ATAF 2014/20 consid. 7) et d'égalité de traitement, et d'autre part,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9.1</w:t>
      </w:r>
    </w:p>
    <w:p>
      <w:r>
        <w:t>En l'espèce, il s'agit pour le Tribunal d'examiner si l'interdiction d'entrée querellée respecte les conditions légales de l'art. 67 al. 2 let. a LEtr en lien avec l'art. 5 de l'annexe I ALCP.</w:t>
      </w:r>
    </w:p>
    <w:p>
      <w:r>
        <w:rPr>
          <w:b/>
        </w:rPr>
        <w:t>E. 9.2</w:t>
      </w:r>
    </w:p>
    <w:p>
      <w:r>
        <w:t>Pour sa part, l'autorité inférieure s'est fondée sur les sept condamnations pénales du recourant intervenues entre le 18 février 2008 et le 8 août 2016 pour justifier le prononcé de l'interdiction d'entrée d'une durée de 6 ans. Dans sa décision, elle a en particulier retenu les « infractions commises et de la récidive dans son comportement délictueux ». Le recourant s'est, de son côté, prévalu du fait que les infractions qu'il avait commises, en dehors des violations des obligations d'entretien, étaient anciennes et ne permettaient pas d'inférer qu'il représentait pour l'avenir une menace grave et réelle pour l'ordre et la sécurité publics, justifiant le prononcé d'une interdiction d'entrée en Suisse en dérogation à la libre circulation des personnes. Il convient donc de déterminer, dans un premier temps, si l'interdiction d'entrée que le SEM a prise à l'encontre du recourant en date du 17 août 2017 était fondée dans son principe et, dans un deuxième temps, si la durée de cette interdiction d'entrée de 6 ans est justifiée.</w:t>
      </w:r>
    </w:p>
    <w:p>
      <w:r>
        <w:rPr>
          <w:b/>
        </w:rPr>
        <w:t>E. 9.3</w:t>
      </w:r>
    </w:p>
    <w:p>
      <w:r>
        <w:t>A ce sujet, il sied de rappeler que le moment déterminant pour juger du bien-fondé d'une interdiction d'entrée est en principe le jour du prononcé de la décision attaquée (cf. arrêt du TF 2C_66/2018 du 7 mai 2018, consid. 5.3.1 ; voir aussi Schärer/Antoniazza, Interdiction d'entrée, AJP 2018 p. 889, note de bas de page 32).</w:t>
      </w:r>
    </w:p>
    <w:p>
      <w:r>
        <w:rPr>
          <w:b/>
        </w:rPr>
        <w:t>E. 9.4</w:t>
      </w:r>
    </w:p>
    <w:p>
      <w:r>
        <w:t>Dans le cadre de sa décision du 17 août 2017, l'autorité inférieure a retenu que les comportements délictueux du recourant représentait une menace grave, réelle et actuelle pour l'ordre et la sécurité publics justifiant son éloignement, tant sous l'angle de l'art. 67 LEtr que celle de l'art. 5, al. 1, Annexe I ALCP. A l'examen du dossier de la cause, le Tribunal constate que le casier judiciaire suisse de l'intéressé fait en effet état d'un certain nombre important de condamnations pénales (cf. let. G, supra), onze en tout sur une période allant de 2002 à 2018.</w:t>
      </w:r>
    </w:p>
    <w:p>
      <w:r>
        <w:rPr>
          <w:b/>
        </w:rPr>
        <w:t>E. 9.5</w:t>
      </w:r>
    </w:p>
    <w:p>
      <w:r>
        <w:t>Le Tribunal relève par ailleurs que, postérieurement au prononcé de la décision attaquée, le recourant a fait l'objet, le 8 août 2018, d'une condamnation par le Ministère public de l'arrondissement de la Côte, à une peine pécuniaire de 40 jours-amende à Frs. 20.- avec sursis pendant deux ans, pour séjour illégal (art. 115 al. 1 let. b LEtr) et activité lucrative sans autorisation.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9.6</w:t>
      </w:r>
    </w:p>
    <w:p>
      <w:r>
        <w:t>Sur le plan des condamnations pénales dont le recourant a été l'objet, les quatre les plus récentes sont les suivantes : (a)Le 30 mai 2012, l'intéressé a été condamné, par le Ministère public de l'arrondissement du Nord vaudois, à une peine privative de liberté de six mois pour extorsion et chantage. Il avait accosté un individu en état d'ébriété et menacé de le frapper s'il ne lui remettait pas de l'argent. (b) Le 22 octobre 2013, l'intéressé a été condamné, par le Ministère public du canton de Fribourg, à une peine pécuniaire de 35 jours-amende à Frs. 30.- pour violation d'une obligation d'entretien. (c) Le 27 octobre 2016, il a été condamné par le Ministère public du canton de Fribourg, à un travail d'intérêt général de 360 heures pour violation d'une obligation d'entretien. (d)Le 8 août 2018, il a été condamné par le Ministère public de l'arrondissement de la Côte, à une peine pécuniaire de 40 jours-amende à Frs. 20.- avec sursis pendant deux ans, pour séjour illégal (art. 115 al. 1 let. b LEtr et activité lucrative sans autorisation (art. 115 al. 1 let. c LEtr).</w:t>
      </w:r>
    </w:p>
    <w:p>
      <w:r>
        <w:rPr>
          <w:b/>
        </w:rPr>
        <w:t>E. 9.7</w:t>
      </w:r>
    </w:p>
    <w:p>
      <w:r>
        <w:t>Sur son passé pénal, l'intéressé a en particulier mis en avant qu'il n'avait été plus condamné depuis 2012 (cf. mémoire de recours, page unique), un propos que sa compagne a nuancé dans sa lettre au Tribunal du 7 juillet 2018. Elle a indiqué que le recourant avait pris conscience suite à sa condamnation en 2012 de la nécessité de prendre sa vie en main et qu'il n'avait été depuis lors que condamné pour des violations d'obligations d'entretien. Elle a de plus soutenu que ne pas payer les pensions alimentaires ne permettait pas d'affirmer que « l'intéressé représente une menace grave, réelle et actuelle pour l'ordre et la sécurité publique ». Enfin, elle a argué que son compagnon avait la volonté de gagner sa vie afin de subvenir à ses besoins et ceux de ses enfants, mais qu'il avait été difficile de trouver un travail ; qu'il en avait cependant trouvé un lorsqu'il avait été incarcéré. En somme, le recourant a argué que depuis sa condamnation en 2012, il se serait comporté de manière correcte et n'aurait troublé ni l'ordre, ni la sécurité publics.</w:t>
      </w:r>
    </w:p>
    <w:p>
      <w:r>
        <w:rPr>
          <w:b/>
        </w:rPr>
        <w:t>E. 9.8</w:t>
      </w:r>
    </w:p>
    <w:p>
      <w:r>
        <w:t>On retiendra toutefois en défaveur du recourant que, durant son séjour en Suisse, il a été l'auteur de multiples infractions (cf. supra let. G) et que celles-ci se sont déroulées sur une période étendue de plus de 16 ans, soit de janvier 2002 à août 2018.</w:t>
      </w:r>
    </w:p>
    <w:p>
      <w:r>
        <w:rPr>
          <w:b/>
        </w:rPr>
        <w:t>E. 9.9</w:t>
      </w:r>
    </w:p>
    <w:p>
      <w:r>
        <w:t>L'on n'est donc pas en présence de simples actes isolés, mais bien en face d'une délinquance chronique qui ne permet pas, en l'absence de nouveaux éléments, de poser un pronostic favorable pour l'avenir ; les antécédents pénaux du recourant dénotent au contraire une propension certaine à transgresser la loi en même temps qu'une incapacité à s'amender. Au vu des éléments susmentionnés, le recourant paraît dès lors incapable de respecter l'ordre juridique. Cela étant, compte tenu de la gravité des infractions dont le recourant a été reconnu coupable (notamment extorsion et chantage), de l'importance des biens juridiques menacés (intégrité corporelle, protection de la famille), du fait qu'il a été condamné à de multiples reprises et notamment pour des délits de même nature (violation d'une obligation d'entretien), le Tribunal estime que le risque de réitération d'actes délictueux de la part de l'intéressé s'avère important, surtout s'il ne travaille pas et ne possède pas une source de revenu réguliers pour respecter ses obligations financières vis-à-vis de ses enfants.</w:t>
      </w:r>
    </w:p>
    <w:p>
      <w:r>
        <w:rPr>
          <w:b/>
        </w:rPr>
        <w:t>E. 9.10</w:t>
      </w:r>
    </w:p>
    <w:p>
      <w:r>
        <w:t>Sur un autre plan, l'intéressé a relevé l'évolution socioprofessionnelle dont il a fait preuve suite à sa condamnation pénale de 2012. A ce sujet, il a mentionné dans son mémoire de recours avoir cherché un emploi et obtenu un poste de palefrenier. Le recourant a également mis en exergue le fait qu'il voulait régulariser sa situation et reprendre sa vie en main pour sa compagne et sa fille de trois ans. Ainsi, le prénommé essaie de démontrer que, s'il a effectivement déployé une activité délictueuse durant plusieurs années, il ne présenterait plus, à ce jour, un risque de récidive suffisant pour justifier l'imposition d'une interdiction d'entrée.</w:t>
      </w:r>
    </w:p>
    <w:p>
      <w:r>
        <w:rPr>
          <w:b/>
        </w:rPr>
        <w:t>E. 9.11</w:t>
      </w:r>
    </w:p>
    <w:p>
      <w:r>
        <w:t>Force est toutefois de constater que, nonobstant ses efforts, le prénommé n'a pas fait preuve, depuis sa remise en liberté, d'une évolution socioprofessionnelle permettant de poser un pronostic favorable à son égard. A ce propos, il convient notamment de rappeler qu'il a été renvoyé en Espagne à sa sortie de prison le 28 août 2018 et aura vraisemblablement perdu son emploi. De plus, en date du 26 octobre 2011, l'intéressé avait accumulé des dettes pour plus de Frs. 60'000.- et il n'apparaîtrait pas que celles-ci auraient été remboursées depuis lors.</w:t>
      </w:r>
    </w:p>
    <w:p>
      <w:r>
        <w:rPr>
          <w:b/>
        </w:rPr>
        <w:t>E. 9.12</w:t>
      </w:r>
    </w:p>
    <w:p>
      <w:r>
        <w:t>Enfin, le Tribunal ne saurait suivre l'argument soulevé par G._______, selon lequel que ne pas payer les pensions alimentaires ne permettait pas d'affirmer que « l'intéressé représente une menace grave, réelle et actuelle pour l'ordre et la sécurité publique » : (a) D'abord il convient de noter que le recourant a été condamné le 8 août 2018 à une peine pécuniaire de 40 jours-amende à Frs. 20.- avec sursis pendant deux ans, pour séjour illégal (art. 115 al. 1 let. b LEtr et activité lucrative sans autorisation) et le Tribunal constate aussi qu'en dehors de ses condamnations pour violation d'obligations d'entretien, le recourant continue de ne pas respecter l'ordre juridique suisse. (b) En outre, selon la jurisprudence du Tribunal fédéral développée dans le contexte des conditions de révocation d'une autorisation de séjour, mais dont il convient de s'inspirer ici, «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(ATF 139 I 16 consid. 2.1 p. 18; arrêts 2C_699/2014 du 1er décembre 2014 consid. 3.2; 2C_160/2013 du 15 novembre 2013 consid. 2.1.1). » (arrêt du TF 2C_933/2014 du 29 janvier 2015, consid. 4.2.1)</w:t>
      </w:r>
    </w:p>
    <w:p>
      <w:r>
        <w:rPr>
          <w:b/>
        </w:rPr>
        <w:t>E. 9.13</w:t>
      </w:r>
    </w:p>
    <w:p>
      <w:r>
        <w:t>Certes, une situation financière obérée ou une violation, de la part du recourant, des obligations financières découlant de ses obligations d'entretien, bien que critiquables, ne sauraient constituer, à elles seules, une atteinte à l'ordre public suisse suffisante à justifier le retrait de l'autorisation d'établissement UE/AELE de celui-ci (cf. arrêt du TF 2C_479/2018 du 15 février 2019, consid. 3.4). Mais la condamnation du recourant du 8 août 2018 à une peine pécuniaire de 40 jours-amende à Frs. 20.- avec sursis pendant deux ans, pour séjour illégal (art. 115 al. 1 let. b LEtr) et activité lucrative sans autorisation démontre pleinement que le recourant n'entend pas respecter l'ordre juridique, alors qu'il devait pertinemment savoir qu'il ne pouvait travailler en Suisse sans autorisation.</w:t>
      </w:r>
    </w:p>
    <w:p>
      <w:r>
        <w:rPr>
          <w:b/>
        </w:rPr>
        <w:t>E. 9.14</w:t>
      </w:r>
    </w:p>
    <w:p>
      <w:r>
        <w:t>Au vu de ce qui précède, il est manifeste que le recourant, en ayant de manière répétée et récente, été condamné pour violation fautive de ses obligations d'entretien, a porté une atteinte grave à la sécurité et l'ordre publics.</w:t>
      </w:r>
    </w:p>
    <w:p>
      <w:r>
        <w:rPr>
          <w:b/>
        </w:rPr>
        <w:t>E. 9.15</w:t>
      </w:r>
    </w:p>
    <w:p>
      <w:r>
        <w:t>Ainsi, la fréquence et la gravité des infractions dont il s'est rendu coupable et l'absence d'un pronostic favorable conduisent le Tribunal à considérer que le risque de récidive est bien encore présent et que le prénommé représente ainsi toujours une menace réelle et actuelle pour l'ordre et la sécurité publics. En conséquence, compte tenu de l'ensemble des circonstances du cas d'espèce,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10.1</w:t>
      </w:r>
    </w:p>
    <w:p>
      <w:r>
        <w:t>A ce stade, il sied encore de vérifier si le prononcé d'une interdiction d'entrée d'une durée supérieure à cinq ans (cf. consid. 9.2, deuxième paragraphe ci-avant), était justifié à la lumière de l'art. 67 al. 3 2ème phrase LEtr et des principes dégagés par la jurisprudence.</w:t>
      </w:r>
    </w:p>
    <w:p>
      <w:r>
        <w:rPr>
          <w:b/>
        </w:rPr>
        <w:t>E. 10.2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10.3</w:t>
      </w:r>
    </w:p>
    <w:p>
      <w:r>
        <w:t>En l'espèce, le SEM a fondé son prononcé du 17 août 2017 sur les six condamnations pénales dont le recourant avait fait l'objet entre 2008 et 2016, condamnations prononcées pour infraction à la loi sur la circulation routière, à la loi sur les armes et à la LStup, vol d'importance mineure, dommage à la propriété, extorsion et chantage, et plusieurs infractions pour violation d'une obligation d'entretien. Les infractions reprochées au recourant sont certes d'une certaine gravité et l'intéressé a démontré une forte propension à la récidive, les infractions aux obligations d'entretien se répétant avec une singulière régularité. Compte tenu de la nature des infractions commises par le recourant le Tribunal considère que l'on ne saurait guère conclure, en l'état, à l'existence d'une "menace caractérisée" pour la sécurité et l'ordre publics (au sens de l'art. 67 al. 3 2ème phrase LEtr et de la jurisprudence y relative) susceptible de justifier le prononcé d'une mesure d'éloignement d'une durée supérieure à cinq ans. En conséquence, la décision du SEM, prononcée le 17 août 2017 pour une durée de 6 ans, consacre une violation de l'art. 67 al. 3 2e phrase LEtr (dans le même sens, voir l'arrêt TAF F-5141/2014 du 30 septembre 2016).</w:t>
      </w:r>
    </w:p>
    <w:p>
      <w:r>
        <w:rPr>
          <w:b/>
        </w:rPr>
        <w:t>E. 11.1</w:t>
      </w:r>
    </w:p>
    <w:p>
      <w:r>
        <w:t>Il reste finalement à déterminer quelle est la durée adéquate de cette mesure d'éloignement, conformément aux principes de proportionnalité et d'égalité de traitement.</w:t>
      </w:r>
    </w:p>
    <w:p>
      <w:r>
        <w:rPr>
          <w:b/>
        </w:rPr>
        <w:t>E. 11.2</w:t>
      </w:r>
    </w:p>
    <w:p>
      <w:r>
        <w:t>C'est le lieu de rappeler que lorsque l'autorité administrative prononce une interdiction d'entrée, elle doit respecter les principes susmentionnés et s'interdire tout arbitraire (cf. Dubey/Zufferey, Droit administratif général, Bâle 2014, p. 215ss; Thierry Tanquerel, Manuel de droit administratif, Genève/Zurich/Bâle 2011, p. 187ss; André Grisel, Traité de droit administratif, vol. I, Neuchâtel 1984, p. 339ss, 348ss, 358ss et 364ss).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w:t>
      </w:r>
    </w:p>
    <w:p>
      <w:r>
        <w:rPr>
          <w:b/>
        </w:rPr>
        <w:t>E. 11.3</w:t>
      </w:r>
    </w:p>
    <w:p>
      <w:r>
        <w:t>L'exigence de proportionnalité à laquelle doivent satisfaire les mesures étatiques (telles les mesures d'éloignement), qui découle notamment de l'art. 96 al. 1 LEtr, est aussi applicable dans les domaines régis par l'ALCP (cf. arrêts du Tribunal fédéral précités 2C_436/2014 consid. 4.1, 2C_121/2014 consid. 5.1, et jurispr. cit.).</w:t>
      </w:r>
    </w:p>
    <w:p>
      <w:r>
        <w:rPr>
          <w:b/>
        </w:rPr>
        <w:t>E. 11.4</w:t>
      </w:r>
    </w:p>
    <w:p>
      <w:r>
        <w:t>La détermination de la durée d'une interdiction d'entrée dans un cas concret doit tenir compte en particulier de l'importance des biens juridiques menacés et des intérêts privés concernés (cf. ATAF 2014/20 consid. 8.2 et 8.3).</w:t>
      </w:r>
    </w:p>
    <w:p>
      <w:r>
        <w:rPr>
          <w:b/>
        </w:rPr>
        <w:t>E. 11.5</w:t>
      </w:r>
    </w:p>
    <w:p>
      <w:r>
        <w:t>Dans le cas d'espèce, le recourant a fait l'objet de multiples condamnations pénales en Suisse (cf. let. G supra).</w:t>
      </w:r>
    </w:p>
    <w:p>
      <w:r>
        <w:rPr>
          <w:b/>
        </w:rPr>
        <w:t>E. 11.6</w:t>
      </w:r>
    </w:p>
    <w:p>
      <w:r>
        <w:t>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w:t>
      </w:r>
    </w:p>
    <w:p>
      <w:r>
        <w:rPr>
          <w:b/>
        </w:rPr>
        <w:t>E. 11.7</w:t>
      </w:r>
    </w:p>
    <w:p>
      <w:r>
        <w:t>S'agissant des éléments qui plaident en faveur du recourant, il s'impose de constater que la durée importante de son séjour en ce pays et la présence en Suisse de plusieurs membres de sa famille, pèsent d'un poids non négligeable, dans la mesure où le recourant semblerait maintenir ou avoir maintenu jusqu'à récemment des contacts régulier avec au moins trois de ses enfants (voir la déclaration non datée, mais reçue par le SPOP le 18 décembre 2003, de H._______, la mère des enfants C._______ et D._______, ainsi que la déclaration du 7 juillet 2018 de G._______, la mère de E._______).</w:t>
      </w:r>
    </w:p>
    <w:p>
      <w:r>
        <w:rPr>
          <w:b/>
        </w:rPr>
        <w:t>E. 11.8</w:t>
      </w:r>
    </w:p>
    <w:p>
      <w:r>
        <w:t>Pour ce qui a trait à l'intérêt public, il sied de noter que les actes pour lesquels le recourant a été condamné sont d'une gravité certaine et justifient une intervention des autorités. Au vu de l'activité délictuelle que l'intéressé a déployée en Suisse durant plus de 16 ans et du risque de récidive, il existe un intérêt public indéniable à le tenir éloigné de Suisse pendant une période relativement longue. Dans la pesée des intérêts en présence, il y a aussi lieu de tenir compte du fait que l'intéressé n'a pas eu d'emploi stable lors de son séjour en Suisse, qu'il a bénéficié de l'aide sociale et que sa situation financière est obérée.</w:t>
      </w:r>
    </w:p>
    <w:p>
      <w:r>
        <w:rPr>
          <w:b/>
        </w:rPr>
        <w:t>E. 11.9</w:t>
      </w:r>
    </w:p>
    <w:p>
      <w:r>
        <w:t>En conséquence, après une pondération des intérêts publics et privés en présence et au regard de l'ensemble des circonstances du cas d'espèce, le Tribunal considère que la durée de l'interdiction d'entrée querellée doit être fixée à quatre ans.</w:t>
      </w:r>
    </w:p>
    <w:p>
      <w:r>
        <w:rPr>
          <w:b/>
        </w:rPr>
        <w:t>E. 12.1</w:t>
      </w:r>
    </w:p>
    <w:p>
      <w:r>
        <w:t>Le recours est en conséquence partiellement admis et la décision querellée est réformée en ce sens qu'elle prendra fin le 16 août 2021.</w:t>
      </w:r>
    </w:p>
    <w:p>
      <w:r>
        <w:rPr>
          <w:b/>
        </w:rPr>
        <w:t>E. 12.2</w:t>
      </w:r>
    </w:p>
    <w:p>
      <w:r>
        <w:t>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w:t>
      </w:r>
    </w:p>
    <w:p>
      <w:r>
        <w:rPr>
          <w:b/>
        </w:rPr>
        <w:t>E. 12.3</w:t>
      </w:r>
    </w:p>
    <w:p>
      <w:r>
        <w:t>Obtenant partiellement gain de cause, le recourant aurait par ailleurs droit à des dépens partiels pour les frais nécessaires et relativement élevés causés par le litige (cf. art. 64 al. 1 PA en relation avec l'art. 7 FITAF). Dans le cas particulier, il convient toutefois de relever que le recourant a agi seul. La présente procédure de recours ne lui a dès lors pas occasionné des frais de représentation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