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F-4146/2022 vom 22. August 2022</w:t>
      </w:r>
    </w:p>
    <w:p>
      <w:r>
        <w:t>Bundesverwaltungsgericht, 2022-08-22, DE</w:t>
      </w:r>
    </w:p>
    <w:p>
      <w:r>
        <w:rPr>
          <w:b/>
        </w:rPr>
        <w:t xml:space="preserve">Quelle: </w:t>
      </w:r>
      <w:r>
        <w:t>https://mcp.opencaselaw.ch/entscheid/bvger_F-4146_2022_d20220822</w:t>
      </w:r>
    </w:p>
    <w:p>
      <w:r>
        <w:t>FR: TAF F-4146/2022 du 22 août 2022</w:t>
      </w:r>
    </w:p>
    <w:p>
      <w:r>
        <w:t>IT: TAF F-4146/2022 del 22 agosto 2022</w:t>
      </w:r>
    </w:p>
    <w:p>
      <w:pPr>
        <w:pStyle w:val="Heading2"/>
      </w:pPr>
      <w:r>
        <w:t>Regeste</w:t>
      </w:r>
    </w:p>
    <w:p>
      <w:r>
        <w:t>Schengen-Visum | Schengen-Visum zu Besuchszwecken zugunsten von B.; Verfügung des SEM vom 22. August 2022</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2014/1 E. 2 m.H.).</w:t>
      </w:r>
    </w:p>
    <w:p>
      <w:r>
        <w:rPr>
          <w:b/>
        </w:rPr>
        <w:t>E. 3.1</w:t>
      </w:r>
    </w:p>
    <w:p>
      <w:r>
        <w:t>Dem angefochtenen Entscheid liegt das Gesuch einer vietnamesi- schen Staatsangehörigen um Erteilung eines Visums zu Besuchszwecken</w:t>
      </w:r>
    </w:p>
    <w:p>
      <w:r>
        <w:t>F-4146/2022 Seite 4 für die Schweiz zugrunde. Da sie sich als sogenannte Drittstaatsangehö- rige nicht aus eigenem und vorliegend auch nicht aus abgeleitetem Recht auf die EU/EFTA-Personenfreizügigkeitsabkommen berufen kann und die beabsichtigte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w:t>
      </w:r>
    </w:p>
    <w:p>
      <w:r>
        <w:t>F-4146/2022 Seite 5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5.1</w:t>
      </w:r>
    </w:p>
    <w:p>
      <w:r>
        <w:t>Vietnamesische Staatsangehörige in der Situation der Gesuchstellerin unterstehen der Visumpflicht (Art. 3 Abs. 1 der Verordnung (EU) 2018/1806</w:t>
      </w:r>
    </w:p>
    <w:p>
      <w:r>
        <w:t>F-4146/2022 Seite 6 i.V.m. deren Anhang I Ziff. 1). Die Erteilung eines Visums wurde ihr auf Einsprache hin verweigert, weil keine hinreichenden Gründe für eine frist- gerechte und anstandslose Wiederausreise bestünden.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Vietnam ist Folgendes fest- zuhalten: Die in Richtung Marktwirtschaft gehenden Wirtschaftsreformen Vietnams waren in den vergangenen knapp 30 Jahren äusserst erfolgreich. Das Land erlebte einen grossen wirtschaftlichen Aufschwung, wobei die jährlichen Wachstumsraten in den letzten zehn Jahren zumeist zwischen 5 und 8 Prozent lagen. Nichtsdestotrotz ist das Wohlstandsniveau der meis- ten Vietnamesen immer noch niedrig, wenn auch nur noch 10 Prozent der Bürger unterhalb der Armutsgrenze leben. Seit 2010 gilt Vietnam als „Middle Income Country“, also als ein Land, in dem das Pro-Kopf-Jahres- einkommen bei über 1'000.– US-Dollar liegt. Allerdings ist das Volksein- kommen zwischen Stadt und Land sehr ungleich verteilt. So verdient die 20 Prozent der Gesamtpopulation ausmachende städtische Bevölkerung 80 Prozent des Volkseinkommens. Die grösste Herausforderung für die vi- etnamesische Volkswirtschaft ist eine zu geringe Produktivität, verursacht durch eine unzureichende Berufsbildung, teils unproduktive Staatsbetriebe</w:t>
      </w:r>
    </w:p>
    <w:p>
      <w:r>
        <w:t>F-4146/2022 Seite 7 und einen grossen informellen, ineffizienten Sektor. Korruption, sowohl im staatlichen als auch im privatwirtschaftlichen Bereich, ist eine gängige Er- scheinung (vgl. https://www.ihk.de/ koeln/hauptnavigation/international/la- ender-und-maerkte/vietnam-basis informationen-5172204, abgerufen am 14.11.2023). Es ist daher nicht zu beanstanden, dass die Vorinstanz das allgemeine Risiko einer nicht fristgerechten Wiederausreise von Personen aus Vietnam grundsätzlich als hoch einschätzt (vgl. Urteil des BVGer F-2832/2023 vom 13. September 2023 E. 5.3).</w:t>
      </w:r>
    </w:p>
    <w:p>
      <w:r>
        <w:rPr>
          <w:b/>
        </w:rPr>
        <w:t>E. 6.2</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6.3</w:t>
      </w:r>
    </w:p>
    <w:p>
      <w:r>
        <w:t>Bei der Gesuchstellerin handelt es sich um eine 1983 geborene Viet- namesin. Sie hat ihr ganzes Leben in Vietnam verbracht und spricht weder Deutsch noch Englisch. Gemäss der Eingabe des Beschwerdeführers an das kantonale Migrationsamt vom 26. Juni 2022 lebt die Gesuchstellerin mit ihrem 17-jährigen Sohn und ihrer Mutter zusammen. Diese familiäre Bindung wird jedoch durch die Beziehung der Gesuchstellerin zum in der Schweiz lebenden Beschwerdeführer, geboren 1965, massgeblich relati- viert. Das Paar lernte sich im Juni 2021 über das Internet kennen. Aufgrund der beiderseitig mangelnden Sprachkenntnisse kommunizieren sie über ein Übersetzungstool. In seiner Eingabe vom 19. Mai 2022 bezeichnete der Beschwerdeführer die Gesuchstellerin als seine zukünftige Ehefrau.</w:t>
      </w:r>
    </w:p>
    <w:p>
      <w:r>
        <w:t>F-4146/2022 Seite 8 Am 22. August 2022 reiste der Beschwerdeführer zum ersten Mal nach Vietnam und gibt in seiner Beschwerdeschrift an, dass er einen Monat lang mit der Gesuchstellerin zusammengelebt hatte. Trotz der Kommunikations- schwierigkeiten, des Umstands, dass sich der Beschwerdeführer offenbar zur Heirat entschieden hat, ohne die Gesuchstellerin vorher getroffen zu haben, und des Altersunterschieds von fast 20 Jahren scheint das Paar gewillt zu sein, seine Zukunft gemeinsam zu verbringen. Unter diesen Um- ständen vermögen die familiären Verpflichtungen der Gesuchstellerin im Heimatstaat die Bedenken hinsichtlich eines ausländerrechtlich nicht re- gelkonformen Verhaltens derselben nach einer Einreise in die Schweiz nicht zu zerstreuen. So wecken die Paarbeziehung und damit verbundenen Zukunftspläne der Gesuchstellerin in der Schweiz bei objektiver Betrach- tung zusätzliche Zweifel an deren Bereitschaft zur fristgemässen Wieder- ausreise.</w:t>
      </w:r>
    </w:p>
    <w:p>
      <w:r>
        <w:rPr>
          <w:b/>
        </w:rPr>
        <w:t>E. 6.4</w:t>
      </w:r>
    </w:p>
    <w:p>
      <w:r>
        <w:t>In Bezug auf die wirtschaftliche und berufliche Situation der Gesuch- stellerin ist den Akten zu entnehmen, dass sie zum Zeitpunkt der Gesuchs- einreichung als Sachbearbeiterin in einem Unternehmen arbeitete und VND 8'500'000.– verdiente, was ca. Fr. 310.– entspricht (Umrechnung per 21.11.2023 gemäss https://www.oanda.com/currency-converter/de/) und etwas über dem Durchschnittslohn in Vietnam von ca. Fr. 290.– liegt (https://www.ceicdata.com/de/indicator/vietnam/monthly-earni- ngs#:~:text=Vietnams%20Monatliches%20Einkommen%20wer- den%20viertelj%C3%A4hrli ch,US%20Dollar%20im%202011%2D06, ab- gerufen am 21.11.2023). Der Vertrag war bis März 2023 befristet. Für den geplanten 90-tägigen Aufenthalt in der Schweiz stellte die Gesuchstellerin am 15. April 2022 einen Urlaubsantrag. Selbst unter der Annahme einer Verlängerung des Arbeitsvertrages vermag die wirtschaftliche Situation der Gesuchstellerin – die nach Angaben des Beschwerdeführers vom 19. Mai 2022 zusätzlich von ihm finanziell unterstützt wird – in einer Gesamtschau der vorliegenden Umstände die Prognose einer anstandslosen Wiederaus- reise vor Ablauf der Visumdauer, nicht im entscheidenden Ausmass zu be- günstigen.</w:t>
      </w:r>
    </w:p>
    <w:p>
      <w:r>
        <w:rPr>
          <w:b/>
        </w:rPr>
        <w:t>E. 6.5</w:t>
      </w:r>
    </w:p>
    <w:p>
      <w:r>
        <w:t>Nach dem Gesagten ist bei objektiver Betrachtung das Risiko eines ausländerrechtlich nicht regelkonformen Verhaltens nach einer bewilligten Einreise zu Besuchszwecken als vergleichsweise hoch einzuschätzen. Die Vorinstanz durfte rechtsfehlerfrei davon ausgehen, dass vor dem Hinter- grund der Lage in Vietnam die persönlichen Lebensumstände der Gesuch- stellerin keine ausreichende Gewähr für eine fristgerechte und anstands- lose Wiederausreise nach einem Besuchsaufenthalt in der Schweiz bieten.</w:t>
      </w:r>
    </w:p>
    <w:p>
      <w:r>
        <w:t>F-4146/2022 Seite 9 Mit der fehlenden Gewähr für eine anstandslose Wiederausreise ist eine zwingende Voraussetzung für die Erteilung eines Visums nicht erfüllt. Gründe für die Ausstellung eines VrG-Visums nach Art. 25 VK wurden von den Beteiligten zu Recht nicht geltend gemacht und solche sind auch nicht ersichtlich.</w:t>
      </w:r>
    </w:p>
    <w:p>
      <w:r>
        <w:rPr>
          <w:b/>
        </w:rPr>
        <w:t>E. 7</w:t>
      </w:r>
    </w:p>
    <w:p>
      <w:r>
        <w:t>Soweit sich der Beschwerdeführer sodann sinngemäss auf den grund- rechtlichen Anspruch auf Achtung des Familienlebens beruft, ist Folgendes festzuhalten. Ob die 2021 über das Internet aufgenommene, seither nebst einem längeren Besuch aus der Ferne geführte Konkubinatsbeziehung der Gesuchstellerin und des Beschwerdeführers die rechtsprechungsgemäs- sen Anforderungen an eine durch Art. 8 EMRK (und Art. 13 Abs. 1 BV) ge- schützte Familienbeziehung ausserhalb der Kernfamilie erfüllt, erscheint zumindest zweifelhaft, kann indes vorliegend offenbleiben. Selbst wenn dies der Fall wäre, vermöchte nämlich die hier verfahrensgegenständliche Verweigerung eines Besuchervisums den Schutzbereich des Anspruchs der Betroffenen auf Achtung ihres Familienlebens von vornherein nicht zu tangieren, da sie ihnen nicht verunmöglicht, eine allfällige Familienbezie- hung in der Schweiz zu leben. Zu diesem Zweck steht es ihnen offen, für die Gesuchstellerin um Erteilung einer Aufenthaltsbewilligung zwecks Ver- bleibs beim Beschwerdeführer (Familiennachzug) sowie bei Bedarf vorab um Erteilung einer Kurzaufenthaltsbewilligung zwecks Vorbereitung der Eheschliessung zu ersuchen. Zur Verwirklichung ihres allfälligen Familien- lebens nach Massgabe des anwendbaren Landes- und Völkerrechts sind sie auf die genannten Gesuchsmöglichkeiten bzw. Verfahren zu verweisen. Wäre dem nicht so, könnte zur Verwirklichung eines allenfalls grundrecht- lich geschützten Familienlebens in der Schweiz eine beliebige Bewilligung beantragt und deren Erteilung unter Berufung auf Art. 8 EMRK verlangt werden, was nicht angeht (vgl. zum Ganzen Urteil des Bundesverwaltungs- gerichts F-3469/2022 vom 13. November 2023 E. 7).</w:t>
      </w:r>
    </w:p>
    <w:p>
      <w:r>
        <w:rPr>
          <w:b/>
        </w:rPr>
        <w:t>E. 8</w:t>
      </w:r>
    </w:p>
    <w:p>
      <w:r>
        <w:t>Aus vorstehenden Erwägungen folgt, dass die angefochtene Verfügung im Lichte von Art. 49 VwVG nicht zu beanstanden ist. Die Beschwerde ist da- her abzuweisen.</w:t>
      </w:r>
    </w:p>
    <w:p>
      <w:r>
        <w:rPr>
          <w:b/>
        </w:rPr>
        <w:t>E. 9</w:t>
      </w:r>
    </w:p>
    <w:p>
      <w:r>
        <w:t>Entsprechend dem Ausgang des Verfahrens wird der unterliegende Be- schwerdeführer kostenpflichtig (Art. 63 Abs. 1 VwVG i.V.m. Art. 1 ff. des</w:t>
      </w:r>
    </w:p>
    <w:p>
      <w:r>
        <w:t>F-4146/2022 Seite 10 Reglements vom 21. Februar 2008 über die Kosten und Entschädigungen vor dem Bundesverwaltungsgericht [VGKE, SR 173.320.2]).</w:t>
      </w:r>
    </w:p>
    <w:p>
      <w:r>
        <w:rPr>
          <w:b/>
        </w:rPr>
        <w:t>E. 10</w:t>
      </w:r>
    </w:p>
    <w:p>
      <w:r>
        <w:t>Dieses Urteil ist endgültig (Art. 83 Bst. c Ziff. 1 BGG). (Dispositiv nächste Seite)</w:t>
      </w:r>
    </w:p>
    <w:p>
      <w:r>
        <w:t>F-4146/2022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