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F-4143/2019 vom 26. November 2020</w:t>
      </w:r>
    </w:p>
    <w:p>
      <w:r>
        <w:t>Bundesverwaltungsgericht, 2020-11-26, DE</w:t>
      </w:r>
    </w:p>
    <w:p>
      <w:r>
        <w:rPr>
          <w:b/>
        </w:rPr>
        <w:t xml:space="preserve">Quelle: </w:t>
      </w:r>
      <w:r>
        <w:t>https://mcp.opencaselaw.ch/entscheid/bvger_F-4143_2019</w:t>
      </w:r>
    </w:p>
    <w:p>
      <w:r>
        <w:t>FR: TAF F-4143/2019 du 26 novembre 2020</w:t>
      </w:r>
    </w:p>
    <w:p>
      <w:r>
        <w:t>IT: TAF F-4143/2019 del 26 novembre 2020</w:t>
      </w:r>
    </w:p>
    <w:p>
      <w:pPr>
        <w:pStyle w:val="Heading2"/>
      </w:pPr>
      <w:r>
        <w:t>Regeste</w:t>
      </w:r>
    </w:p>
    <w:p>
      <w:r>
        <w:t>Schengen-Visum</w:t>
      </w:r>
    </w:p>
    <w:p>
      <w:pPr>
        <w:pStyle w:val="Heading2"/>
      </w:pPr>
      <w:r>
        <w:t>Erwägungen</w:t>
      </w:r>
    </w:p>
    <w:p>
      <w:r>
        <w:rPr>
          <w:b/>
        </w:rPr>
        <w:t>E. 1.1</w:t>
      </w:r>
    </w:p>
    <w:p>
      <w:r>
        <w:t>Einspracheentscheide des SEM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Beschwerdeführenden haben am vorangegangenen Einspracheverfahren teilgenommen und sind als Verfügungsadressat (Beschwerdeführer 1) bzw. Gastgeber (Beschwerdeführer 2) durch die angefochtene Verfügung besonders berührt. Sie sind zur Beschwerde legitimiert (Art. 48 Abs. 1 VwVG). Obwohl der anberaumte Besuchszeitraum inzwischen verstrichen ist, muss auf ein fortbestehendes Rechtsschutzinteresse geschlossen werden. Dies belegt allein schon die Einreichung des Rechtsmittels. Auf die frist- und formgerechte Beschwerde ist einzutreten (vgl. Art. 50 und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Dem angefochtenen Einspracheentscheid liegt das Gesuch eines kosovarischen Staatsangehörigen um Erteilung eines Visums für einen Besuchsaufenthalt in der Schweiz zugrunde. Da sich der Gesuchsteller nicht auf die EU/EFTA-Personenfreizügigkeitsabkommen berufen kann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Das Ausländer- und Integrationsgesetz vom 16. Dezember 2005 (AIG, SR 142.20) und seine Ausführungsbestimmungen gelangen nur soweit zur Anwendung, als die Schengen-Assoziierungsabkommen keine abweichenden Bestimmungen enthalten (Art. 2 Abs. 4 AIG).</w:t>
      </w:r>
    </w:p>
    <w:p>
      <w:r>
        <w:rPr>
          <w:b/>
        </w:rPr>
        <w:t>E. 3.2</w:t>
      </w:r>
    </w:p>
    <w:p>
      <w:r>
        <w:t>Drittstaatsangehörige benötigen zur Einreise in den Schengen-Raum für einen Aufenthalt von höchstens 90 Tagen innerhalb eines Zeitraums von 180 Tagen gültige Reisedokumente, die zum Grenzübertritt berechtigen, sowie ein Visum, sofern dieses - wie im Falle des aus Kosovo stammenden Gesuchstellers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3.3</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Beurteilungsspielraum zu (BVGE 2014/1 E. 4.1.5).</w:t>
      </w:r>
    </w:p>
    <w:p>
      <w:r>
        <w:rPr>
          <w:b/>
        </w:rPr>
        <w:t>E. 3.4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u.a. Gebrauch machen, wenn er es aus humanitären Gründen, aus solchen des nationalen Interesses oder aufgrund internationaler Verpflichtungen für erforderlich hält (vgl. Art. 3 Abs. 4 VEV; Art. 25 Abs. 1 Bst. a VK; Art. 6 Abs. 5 Bst. c SGK).</w:t>
      </w:r>
    </w:p>
    <w:p>
      <w:r>
        <w:rPr>
          <w:b/>
        </w:rPr>
        <w:t>E. 4.1</w:t>
      </w:r>
    </w:p>
    <w:p>
      <w:r>
        <w:t>Bei der Beurteilung der Gewähr für eine fristgerechte Wiederausreise steht ein zukünftiges Verhalten in Frage, weshalb sich darüber lediglich Prognosen treffen lassen. Hierzu sind alle Umstände des Einzelfalls zu würdigen. Die Beweisführungslast obliegt dabei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4.2</w:t>
      </w:r>
    </w:p>
    <w:p>
      <w:r>
        <w:t>Im Zusammenhang mit der allgemeinen Lage in Kosovo weist die Vorinstanz in ihrem Entscheid auf nachteilige wirtschaftliche Verhältnisse und einen damit einhergehenden Migrationsdruck hin. Diese Einschätzung ist nicht zu beanstanden: Die Arbeitslosigkeit lag in Kosovo im Jahr 2019 bei 29.5% und das Pro-Kopf-Einkommen betrug EUR 3'890.- (Quelle: Wirtschaftskammer Österreich (WKO): www.wko.at Themen Aussenwirtschaft Aussenwirtschaft Wirtschaftsberichte Kosovo, Stand: September 2020, besucht im Oktober 2020; vgl. anstelle vieler auch Urteil des BVGer F-6205/2019 vom 17. August 2020 E. 5.2 f. m.H.).</w:t>
      </w:r>
    </w:p>
    <w:p>
      <w:r>
        <w:rPr>
          <w:b/>
        </w:rPr>
        <w:t>E. 4.3</w:t>
      </w:r>
    </w:p>
    <w:p>
      <w:r>
        <w:t>Vor diesem Hintergrund kann insbesondere bei jungen, ungebundenen Personen der Wunsch nach Auswanderung entstehen. Die Bereitschaft, das Heimatland zu verlassen, wird zudem erfahrungsgemäss dort begünstigt, wo - wie im vorliegenden Fall - bereits ein soziales Beziehungsnetz im Ausland besteht. Dies führt nicht selten zur Umgehung ausländerrechtlicher Bestimmungen, indem nach einer allfälligen Einreise versucht wird, den Aufenthalt auf eine ganz andere rechtliche oder faktische Basis zu stellen und sich so der Pflicht zur Wiederausreise zu entziehen (BVGE 2014/1 E. 6.2.2 m.H.).</w:t>
      </w:r>
    </w:p>
    <w:p>
      <w:r>
        <w:rPr>
          <w:b/>
        </w:rPr>
        <w:t>E. 5.1</w:t>
      </w:r>
    </w:p>
    <w:p>
      <w:r>
        <w:t>Neben den allgemeinen Umständen im Herkunftsland sind - wie erwähnt - sämtliche Gesichtspunkte des konkreten Einzelfalles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5.2</w:t>
      </w:r>
    </w:p>
    <w:p>
      <w:r>
        <w:t>Beim Gesuchsteller handelt es sich um einen heute 18-jährigen, unverheirateten und kinderlosen Mann. Er lebt in Kosovo bei seiner Mutter und war noch nie in der Schweiz. Im Rahmen des Einspracheverfahrens gaben die Beschwerdeführenden an, der Gesuchsteller sei in Kosovo in ein tragfähiges, soziales Netz eingebunden und beabsichtige, seinen seit zwölf Jahren in der Schweiz wohnhaften Vater während den mehrmonatigen Sommerferien zu besuchen (SEM-act. 1/7).</w:t>
      </w:r>
    </w:p>
    <w:p>
      <w:r>
        <w:rPr>
          <w:b/>
        </w:rPr>
        <w:t>E. 5.3</w:t>
      </w:r>
    </w:p>
    <w:p>
      <w:r>
        <w:t>In seinem Visumantrag gab der Gesuchsteller an, Student zu sein (SEM-act. 3/35 Ziff. 19). Im Zuge der kantonalen Abklärungen konkretisierte der Gastgeber diese Angabe dahingehend, dass der Gesuchsteller noch bis im Sommer 2020 zur Schule gehe (SEM-act. 4/41 f. Ziff. 3 und 7). Die Beschwerdeführenden argumentieren insbesondere, die dem Gesuchsteller im Heimatland obliegende Schulpflicht biete wesentliche Gewähr für seine Rückkehr dorthin nach dem angestrebten Besuchsaufenthalt (BVGer-act. 1; SEM-act. 1/7). Ist allerdings aufgrund der erwähnten Angaben davon auszugehen, der Gesuchsteller habe die Schule im Sommer 2020 abgeschlossen, kann dem nicht mehr gefolgt werden. Weitere Angaben zum schulischen oder beruflichen Hintergrund des Gesuchstellers in seinem Heimatland wurden nicht gemacht. Hinzu kommt, dass für den Gesuchsteller erst im Januar 2019 ein Gesuch um Bewilligung des Familiennachzugs zum Vater eingereicht wurde. Die Beschwerdeführenden bestätigen in ihrer Replik vom 21. November 2019 diesen Sachverhalt, stellen sich aber auf den Standpunkt, dieses Vorgehen sei in Ermangelung einer Rechtsberatung irrtümlich erfolgt und ohne jede Aussicht auf Gutheissung gewesen. Dieser Irrtum dürfe dem Beschwerdeführer 1 nun nicht zum Nachteil gereichen, indem darin der Wunsch nach einer Wohnsitznahme in der Schweiz gesehen werde. Dieser Darstellungsweise ist immerhin entgegenzuhalten, dass die Mutter des Gesuchstellers am 28. Januar 2019 eine von der Schweizerischen Botschaft vorbereitete Erklärung unterzeichnete, mit der sie ihr Einverständnis dazu gab, dass der Gesuchsteller inskünftig in der Schweiz bei seinem Vater lebe und mit der sie zur Kenntnis nahm, dass sie nicht automatisch das Recht habe, ein Visum zu erhalten, um ihren Sohn in der Schweiz besuchen zu können (SEM-act. 5/71). Unter Berücksichtigung der gesamten persönlichen Situation des Gesuchstellers ist jedenfalls nicht zu beanstanden, wenn die Vorinstanz gestützt auf das eingereichte Familiennachzugsgesuch davon ausging, dieser strebe womöglich einen längerfristigen Aufenthalt in der Schweiz an.</w:t>
      </w:r>
    </w:p>
    <w:p>
      <w:r>
        <w:rPr>
          <w:b/>
        </w:rPr>
        <w:t>E. 5.4</w:t>
      </w:r>
    </w:p>
    <w:p>
      <w:r>
        <w:t>Insgesamt sind beim Gesuchsteller somit keine besonderen Verpflichtungen in Kosovo ersichtlich, die das allgemein als hoch einzuschätzende Risiko einer nicht gesetzeskonformen Wiederausreise von kosovarischen Gesuchstellenden mit sozialem Beziehungsnetz in der Schweiz entscheidend relativieren. Daran vermag auch die Bereitschaft des Beschwerdeführers 2, eine Garantiesumme zu hinterlegen, nichts zu ändern. In seiner Eigenschaft als Gastgeber kann er zwar für gewisse finanzielle Risiken im Zusammenhang mit dem Besuchsaufenthalt Garantie leisten. Mangels rechtlicher und faktischer Durchsetzbarkeit ist dies für ein bestimmtes Verhalten seines Gastes aber nicht möglich (vgl. BVGE 2014/1 E. 6.3.7; 2009/27 E. 9).</w:t>
      </w:r>
    </w:p>
    <w:p>
      <w:r>
        <w:rPr>
          <w:b/>
        </w:rPr>
        <w:t>E. 6</w:t>
      </w:r>
    </w:p>
    <w:p>
      <w:r>
        <w:t>Zusammenfassend ergibt sich, dass vorliegend die Voraussetzungen für die Erteilung eines einheitlichen Visums für den Schengen-Raum nicht erfüllt sind. Zu Recht hat die Vorinstanz aufgrund der nicht gesicherten Wiederausreise dem Gesuchsteller das Visum verweigert. Es sind auch keine humanitären Gründe, nationale Interessen oder internationale Verpflichtungen ersichtlich, welche die Ausstellung eines Visums mit räumlich beschränkter Gültigkeit gebieten würden (vgl. dazu E. 3.4 vorstehend). Schliesslich können auch die familiären Kontakte im bisherigen Rahmen weiter gepflegt werden: Der Beschwerdeführer 2 räumt selbst ein, er könne den Gesuchsteller - wenn auch nur unregelmässig - in Kosovo treffen (vgl. zum Ganzen BGE 144 II 1 E. 6.1; 143 I 21 E. 5.1; 137 I 247 E. 4.1.2; 135 I 143 E. 2.2; BVGE 2011/48 E. 6.3.1). Der an sich verständliche Wunsch der Beschwerdeführenden, gemeinsam Zeit in der Schweiz zu verbringen, hat folglich in den Hintergrund zu treten.</w:t>
      </w:r>
    </w:p>
    <w:p>
      <w:r>
        <w:rPr>
          <w:b/>
        </w:rPr>
        <w:t>E. 7</w:t>
      </w:r>
    </w:p>
    <w:p>
      <w:r>
        <w:t>Die angefochtene Verfügung ist im Lichte von Art. 49 VwVG nicht zu beanstanden. Die Beschwerde ist daher abzuweisen.</w:t>
      </w:r>
    </w:p>
    <w:p>
      <w:r>
        <w:rPr>
          <w:b/>
        </w:rPr>
        <w:t>E. 8</w:t>
      </w:r>
    </w:p>
    <w:p>
      <w:r>
        <w:t>Entsprechend dem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