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F-4139/2022 vom 19. Juni 2023</w:t>
      </w:r>
    </w:p>
    <w:p>
      <w:r>
        <w:t>Bundesverwaltungsgericht, 2023-06-19, DE</w:t>
      </w:r>
    </w:p>
    <w:p>
      <w:r>
        <w:rPr>
          <w:b/>
        </w:rPr>
        <w:t xml:space="preserve">Quelle: </w:t>
      </w:r>
      <w:r>
        <w:t>https://mcp.opencaselaw.ch/entscheid/bvger_F-4139_2022</w:t>
      </w:r>
    </w:p>
    <w:p>
      <w:r>
        <w:t>FR: TAF F-4139/2022 du 19 juin 2023</w:t>
      </w:r>
    </w:p>
    <w:p>
      <w:r>
        <w:t>IT: TAF F-4139/2022 del 19 giugno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 diges Interesse an der Änderung oder Aufhebung der angefochtenen Ver- 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t>F-4139/2022 Seite 4</w:t>
      </w:r>
    </w:p>
    <w:p>
      <w:r>
        <w:rPr>
          <w:b/>
        </w:rPr>
        <w:t>E. 3.1</w:t>
      </w:r>
    </w:p>
    <w:p>
      <w:r>
        <w:t>Als Staatsangehöriger Afghanistans unterliegt der Beschwerdeführer der Visumspflicht gemäss Art. 9 der Verordnung vom 15. August 2018 über die Einreise und die Visumerteilung (VEV, SR 142.204). Mit seinem Ge- such beabsichtigt er einen längerfristigen Aufenthalt, weshalb dieses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gegeben sein; oder aufgrund einer konkreten individu- 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Visumsgesuch ist unter Berücksichtigung der aktuellen Gefährdung, der persönlichen Umstände der betroffenen Person und der Lage im Heimat- oder Herkunftsland sorg- 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4.1</w:t>
      </w:r>
    </w:p>
    <w:p>
      <w:r>
        <w:t>Die Vorinstanz führt zur Begründung ihres Entscheids im Wesentlichen aus, es ergäben sich keine Hinweise für eine gezielte Verfolgung des</w:t>
      </w:r>
    </w:p>
    <w:p>
      <w:r>
        <w:t>F-4139/2022 Seite 5 Beschwerdeführers im Iran. Ebenso wenig bestünden hinreichende Anzei- chen, wonach er Gefahr laufe, vom Iran nach Afghanistan abgeschoben zu werden. Er befinde sich im Iran daher nicht in einer akuten Gefährdungs- lage. Aufgrund seines Engagements im Bereich der Förderung und Lehre des (…) sowie seiner Zugehörigkeit zu einer ethnischen Minderheit verfüge er in Afghanistan über ein gewisses Risikoprofil. Ob dieses zu einer unmit- telbaren, ernsthaften und konkreten Gefährdung seiner Person führe, sei fraglich. Die geltend gemachte Bedrohung durch die Taliban sei unsubstan- tiiert. Weder ihm noch seinen Angehörigen seien nach der Machtüber- nahme der Taliban konkrete und ernsthafte Nachteile widerfahren. Letztlich sei kaum zu beurteilen, wie sich die Situation des Beschwerdeführers bei einer Rückkehr nach Afghanistan präsentieren würde. Da aber keine un- mittelbare Rückschiebungsgefahr bestehe, könne diese Frage offenblei- ben.</w:t>
      </w:r>
    </w:p>
    <w:p>
      <w:r>
        <w:rPr>
          <w:b/>
        </w:rPr>
        <w:t>E. 4.2</w:t>
      </w:r>
    </w:p>
    <w:p>
      <w:r>
        <w:t>Der Beschwerdeführer hielt den Ausführungen der Vorinstanz in seiner Beschwerde im Wesentlichen entgegen, er sei im Iran unmittelbar, ernst- haft und konkret an Leib und Leben gefährdet. Dies aufgrund der drohen- den Abschiebung «in den sicheren Tod nach Afghanistan». Aufgrund seiner kritischen sozialwissenschaftlichen Studien und seiner philosophischen Ar- beiten über den historischen (…) werde er seit Jahren von islamistischen Extremisten verfolgt. Die Vorfälle hätten 2017 begonnen und seien immer gravierender geworden. Im April 2019 sei er wegen einer Publikation über (…) verhaftet und vor Gericht gestellt worden. Die Taliban hätten es insbe- sondere auf Intellektuelle, Journalisten und politisch aktive Mitglieder der Zivilgesellschaft abgesehen. So habe er seit der Machtübernahme der Ta- liban mehrfach explizite Morddrohungen erhalten. Maskierte Motorradfah- rer hätten sein Haus attackiert, Fensterscheiben eingeworfen und einen Drohbrief hinterlassen. Weiter habe er einen Drohbrief der Kabuler «Sha- riah-Kommission» erhalten. Auch als Angehöriger der religiösen Minderheit der Hazara sei er bei einer Rückkehr nach Afghanistan einer grossen Ge- fahr von Folter und Tod ausgesetzt.</w:t>
      </w:r>
    </w:p>
    <w:p>
      <w:r>
        <w:rPr>
          <w:b/>
        </w:rPr>
        <w:t>E. 4.3</w:t>
      </w:r>
    </w:p>
    <w:p>
      <w:r>
        <w:t>Im Rahmen seiner Replik bringt der Beschwerdeführer sodann neu vor, er habe seinen Reisepass bei den iranischen Behörden hinterlegen müs- sen. Sein Gesuch vom (…) um Verlängerung seines Aufenthalts sei unbe- antwortet geblieben. Erst am (…) habe er den Pass zurückerhalten. Dabei sei sein bis am (…) gültiges Visum annulliert und ein endgültiges Ausreise- visum bis zum (…) eingetragen worden.</w:t>
      </w:r>
    </w:p>
    <w:p>
      <w:r>
        <w:t>F-4139/2022 Seite 6 Die Vorinstanz hält hierzu in ihrer Duplik vom 30. Dezember 2022 (Akten des Bundesverwaltungsgerichts [BVGer-act.] 10) fest, es lägen Kopien der entsprechenden Einträge im Pass vor. Damit müsse nun davon ausgegan- gen werden, dass der Beschwerdeführer im Iran von einer Rückschaffung bedroht sei. Zur Verfolgungsgefahr in Afghanistan seien jedoch keine neuen Umstände oder Beweismittel angeführt worden. Wie bereits in der Verfügung vom 19. August 2022 dargelegt, werde nicht nachgewiesen, dass es sich beim Beschwerdeführer um eine durch ihr politisches Enga- gement öffentlich exponierte Person handle. Eine gezielte Verfolgung durch die Taliban erscheine daher wenig glaubhaft.</w:t>
      </w:r>
    </w:p>
    <w:p>
      <w:r>
        <w:rPr>
          <w:b/>
        </w:rPr>
        <w:t>E. 5.1</w:t>
      </w:r>
    </w:p>
    <w:p>
      <w:r>
        <w:t>Nach dem Ausgeführten ist festzuhalten, dass die Vorinstanz die Frage, ob der Beschwerdeführer über ein Profil verfügt, mit dem er in sei- nem Heimatland Afghanistan einer unmittelbaren und individuellen Gefähr- dung ausgesetzt wäre, die sich von anderen Personen massgeblich ab- hebt, in der angefochtenen Verfügung vom 19. August 2022 bewusst of- fengelassen hat (Akten der Vorinstanz [SEM-act.] 5 S. 150). Im Rahmen einer internen Prüfung ging sie zumindest von einem gewissen abstrakten Risikoprofil aus, da der Beschwerdeführer diverse Unterlagen eingereicht habe, um sein aktivistisches Engagement nachzuweisen. Seine Tätigkeit bei Zeitschriften und Zeitungen könne als glaubhaft eingestuft werden (SEM-act. 6 S. 158).</w:t>
      </w:r>
    </w:p>
    <w:p>
      <w:r>
        <w:rPr>
          <w:b/>
        </w:rPr>
        <w:t>E. 5.2</w:t>
      </w:r>
    </w:p>
    <w:p>
      <w:r>
        <w:t>Die unterlassene Prüfung der konkreten Bedrohungslage für den Be- schwerdeführer in Afghanistan begründete die Vorinstanz damit, dass die- sem keine Rückschiebung in sein Heimatland drohe. Mit Duplik vom 30. Dezember 2022 hält sie basierend auf den replikweise gemachten Vor- bringen und eingereichten Beweismitteln des Beschwerdeführers aller- dings fest, es müsse davon ausgegangen werden, dass dieser von einer Rückschaffung bedroht sei (vgl. vorstehend E. 4.3). Das Bundesverwal- tungsgericht schliesst sich dieser Feststellung nach Durchsicht der Akten an. Es geht aufgrund der verfügbaren Daten zudem davon aus, dass es immer wieder zu zwangsweisen Repatriierungen von sich im Iran aufhal- tenden afghanischen Staatsangehörigen in ihr Heimatland kommt (vgl. Ur- teil F-2550/2022 vom 1. März 2023 E. 6.2.2 m.w.H.). Spätestens mit dem Vorliegen des entsprechenden Auszugs aus dem Pass des Beschwerde- führers, aus welchem hervorgeht, dass sein bis am (…) gültiges Visum an- nulliert und ein Ausreisevisum bis zum (…) eingetragen wurde (BVGer- act. 8, Beilagen 10 und 11), wäre das SEM deshalb gehalten gewesen, die</w:t>
      </w:r>
    </w:p>
    <w:p>
      <w:r>
        <w:t>F-4139/2022 Seite 7 für den Beschwerdeführer in Afghanistan bestehende Bedrohungslage ver- tieft abzuklären.</w:t>
      </w:r>
    </w:p>
    <w:p>
      <w:r>
        <w:rPr>
          <w:b/>
        </w:rPr>
        <w:t>E. 5.3</w:t>
      </w:r>
    </w:p>
    <w:p>
      <w:r>
        <w:t>Im Ergebnis hat die Vorinstanz nicht alle für den Entscheid wesentli- chen Sachumstände abgeklärt. Damit hat sie den Sachverhalt unvollstän- dig festgestellt (Art. 49 Bst. b VwVG).</w:t>
      </w:r>
    </w:p>
    <w:p>
      <w:r>
        <w:rPr>
          <w:b/>
        </w:rPr>
        <w:t>E. 6</w:t>
      </w:r>
    </w:p>
    <w:p>
      <w:r>
        <w:t>Die Beschwerde ist daher gutzuheissen, die angefochtene Verfügung auf- zuheben und die Sache an die Vorinstanz zurückzuweisen, damit sie die aktuelle Gefahrenlage neu beurteile und über den Visumsantrag zeitnah befinde. Sie wird vertieft zu prüfen haben, inwiefern der Beschwerdeführer bei einer Ausschaffung nach Afghanistan einer konkreten Bedrohung aus- gesetzt wäre.</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VGKE). Gestützt auf die in Betracht zu ziehenden Bemessungsfaktoren (Art. 9–13 VGKE) ist dem Beschwerdeführer zulasten der Vorinstanz eine Parteientschädigung von insgesamt Fr. 1'500.– (inkl. Auslagen) zuzusprechen. Die Entschädigung umfasst keinen Mehrwertsteuerzuschlag im Sinne von Art. 9 Abs. 1 Bst. c VGKE, zumal die Vertretung des Beschwerdeführers nicht mehrwertsteu- erpflichtig ist. (Dispositiv nächste Seite)</w:t>
      </w:r>
    </w:p>
    <w:p>
      <w:r>
        <w:t>F-4139/2022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