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F-4130/2015 vom 16. September 2016</w:t>
      </w:r>
    </w:p>
    <w:p>
      <w:r>
        <w:t>Bundesverwaltungsgericht, 2016-09-16, DE</w:t>
      </w:r>
    </w:p>
    <w:p>
      <w:r>
        <w:rPr>
          <w:b/>
        </w:rPr>
        <w:t xml:space="preserve">Quelle: </w:t>
      </w:r>
      <w:r>
        <w:t>https://mcp.opencaselaw.ch/entscheid/bvger_F-4130_2015</w:t>
      </w:r>
    </w:p>
    <w:p>
      <w:r>
        <w:t>FR: TAF F-4130/2015 du 16 septembre 2016</w:t>
      </w:r>
    </w:p>
    <w:p>
      <w:r>
        <w:t>IT: TAF F-4130/2015 del 16 settembre 2016</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 ein kosovarischer Staatsangehöriger - ist mit einer deutschen Staatsangehörigen verheiratet. Als Ehegatte einer Staatsangehörigen eines Mitgliedstaates der Europäischen Gemeinschaft (EG) könnte er grundsätzlich in den Anwendungsbereich des Abkommens vom 21. Juni 1999 zwischen der Schweizerischen Eidgenossenschaft einerseits und der Europäischen Gemeinschaft und ihren Mitgliedstaaten andererseits über die Freizügigkeit (SR 0.142.112.681, nachfolgend: Freizügigkeitsabkommen bzw. FZA) fallen, sofern er sich nicht rechtsmissbräuchlich darauf beruft (vgl. BGE 130 II 113 E. 9 und E. 10; Urteil des BGer 2C_273/2011 vom 5. Oktober 2011 E. 3.2; Urteil des BVGer C-6000/2011 vom 14. Mai 2013 E. 3.1 m.H.). Die Anerkennung eines abgeleiteten Freizügigkeitsrechts bedingt hingegen, dass die originär berechtigte Person von ihrem Freizügigkeitsrecht bereits Gebrauch gemacht hat. In casu ist hingegen nicht ersichtlich, dass die in Deutschland lebende Ehefrau des Beschwerdeführers ihr originäres Recht bereits tatsächlich ausgeübt hat. Diesbezüglich genügen insbesondere auch die beschwerdeweise Aussagen nicht, das Einreiseverbot verunmögliche es der Ehefrau des Beschwerdeführers und ihrer Familie sich in der Schweiz niederzulassen bzw. sich hierzulande ferienhalber aufzuhalten (zum Ganzen vgl. Urteil des BGer 2C_1092/2013 vom 4. Juli 2014 E. 5.1 und 5.2 m.H. oder GIULIA SANTANGELO, Kein abgeleitetes Recht auf Freizügigkeit ohne Ausübung des Freizügigkeitsrechts durch den originär Berechtigten, in: dRSK, publiziert am 2. Dezember 2014).</w:t>
      </w:r>
    </w:p>
    <w:p>
      <w:r>
        <w:rPr>
          <w:b/>
        </w:rPr>
        <w:t>E. 3.2</w:t>
      </w:r>
    </w:p>
    <w:p>
      <w:r>
        <w:t>Der Beschwerdeführer kann sich somit vorliegend nicht auf ein (abgeleitetes) Recht aus dem FZA berufen. Die vorliegende Sache beurteilt sich demzufolge ausschliesslich nach dem schweizerischen Ausländerrecht.</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Einreiseverbot bildet dabei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VZAE).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w:t>
      </w:r>
    </w:p>
    <w:p>
      <w:r>
        <w:rPr>
          <w:b/>
        </w:rPr>
        <w:t>E. 5.1</w:t>
      </w:r>
    </w:p>
    <w:p>
      <w:r>
        <w:t>Im vorliegenden Fall hat die Staatsanwaltschaft Zofingen-Kulm am 24. Mai 2016 die Nichtanhandnahme des Verfahrens verfügt. Gemäss Begründung habe der Beschwerdeführer angegeben, bei seinem Cousin zu Besuch gewesen zu sein. Dieser arbeite in einer Bar und habe ihn gebeten, für 1 bis 2 Stunden das Lokal zu "hüten", d.h. den dort arbeitenden Frauen die Türen zu öffnen. Er habe weiter keine Tätigkeit ausgeübt und auch kein Entgelt für seinen Hütedienst erhalten. Diese Angaben würden von seinem Cousin bestätigt werden. Das Ausüben einer unbewilligten Erwerbstätigkeit könne dem Beschwerdeführer daher nicht rechtsgenüglich nachgewiesen werden, weshalb auf eine Strafuntersuchung zu verzichten sei (BVGer act. 34). Gestützt darauf macht der Beschwerdeführer mit schriftlicher Eingabe vom 16. August 2016 geltend, es könne damit auch kein Verstoss gegen die öffentliche Sicherheit und Ordnung durch illegale Erwerbstätigkeit vorliegen.</w:t>
      </w:r>
    </w:p>
    <w:p>
      <w:r>
        <w:rPr>
          <w:b/>
        </w:rPr>
        <w:t>E. 5.2</w:t>
      </w:r>
    </w:p>
    <w:p>
      <w:r>
        <w:t>Die Vorinstanz stellt sich hingegen auf den Standpunkt, aus ihrer Sicht sei - trotz des Erlasses der Nichtanhandnahmeverfügung durch die Staatsanwaltschaft - in ausländerrechtlicher Hinsicht sehr wohl von einem Verstoss gegen die öffentliche Sicherheit und Ordnung durch illegale Erwerbstätigkeit auszugehen (vgl. Stellungnahme vom 30. Juni 2016). Zu den voneinander abweichenden Standpunkten nimmt das Bundesverwaltungsgericht nachfolgend Stellung.</w:t>
      </w:r>
    </w:p>
    <w:p>
      <w:r>
        <w:rPr>
          <w:b/>
        </w:rPr>
        <w:t>E. 6.1</w:t>
      </w:r>
    </w:p>
    <w:p>
      <w:r>
        <w:t>Das Einreiseverbot knüpft direkt an die Störung der öffentlichen Sicherheit und Ordnung an und nicht an die Ahndung dieser Störung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statt vieler Urteil des BVGer C-5556/2014 vom 28. Mai 2015 E. 4.2 m.H.) In Bezug auf die Rechtsanwendung ist die Verwaltungsbehörde hingegen lediglich dann an die rechtliche Qualifikation des Sachverhaltes gebunden, wenn die rechtliche Würdigung sehr stark von der Würdigung von Tatsachen abhängt, die der Strafrichter besser kennt als die Verwaltungsbehörde (BGE 120 Ib 312 E. 4b, Urteil des BGer 1C_345/2012 vom 17. Januar 2013 E. 2.2). Dies ist in casu zu verneinen.</w:t>
      </w:r>
    </w:p>
    <w:p>
      <w:r>
        <w:rPr>
          <w:b/>
        </w:rPr>
        <w:t>E. 6.2</w:t>
      </w:r>
    </w:p>
    <w:p>
      <w:r>
        <w:t>Der ausländerrechtliche Begriff der Erwerbstätigkeit ist weit gefasst (vgl. BGE 122 IV 231 ff. und BGE 118 Ib 81 ff.). Als Erwerbstätigkeit im Sinne des Gesetzes gilt jede üblicherweise gegen Entgelt ausgeübte unselbstständige oder selbstständige Tätigkeit, selbst wenn sie im konkreten Einzelfall unentgeltlich erfolgt (Art. 11 Abs. 2 AuG). Eine Tätigkeit gilt dann als üblicherweise auf Entgelt gerichtet, wenn sie ihrer Art und ihrem Umfang nach auf dem schweizerischen Arbeits- und Dienstleistungsmarkt angeboten wird (vgl. Egli/Meyer, Handkommentar zum Bundesgesetz über die Ausländerinnen und Ausländer, 2010, Rz. 6 zu Art. 11). Ohne Belang für die Qualifikation als Erwerbstätigkeit ist dabei, ob die Beschäftigung nur stunden- oder tageweise oder vorübergehend ausgeübt wird (Art. 1a Abs. 1 VZAE).</w:t>
      </w:r>
    </w:p>
    <w:p>
      <w:r>
        <w:rPr>
          <w:b/>
        </w:rPr>
        <w:t>E. 6.2.1</w:t>
      </w:r>
    </w:p>
    <w:p>
      <w:r>
        <w:t>Der Beschwerdeführer wurde am 4. Juni 2015 anlässlich einer Polizeikontrolle in einem Club hinter der Bar angetroffen. Gemäss dem Protokoll der gleichentags erfolgten polizeilichen Einvernahme (vgl. kant. act. 12 ff.) machte er geltend, er (sein Cousin) habe ihm gesagt, wenn Kunden kämen, solle er ihnen die hintere Türe öffnen; der Zutritt sei mittels Klingel erfolgt; er habe dann die Türe von innen öffnen müssen; die Polizei habe er ebenfalls über diesen Zugang ins Gebäude gelassen. Er habe nur der Polizei die Türe geöffnet (vgl. Antworten zu Frage 14 und 15). Auch erklärte er auf die Frage hin, wer für den Club zum Zeitpunkt der Abwesenheit seines Cousins verantwortlich gewesen sei: "ich sagte ihm (seinem Cousin) für eine Stunde Gläser waschen oder putzen oder etwas Kleines helfen, werde ich dies tun" (Antwort zu Frage 16). Weiter sagte er aus, er habe nichts gemacht ausser einem Kunden einen Aschenbecher gebracht; zu 95 % habe er sich im Büro aufgehalten und sei mit seinem "Natel" im Internet gewesen (Antworten zu Fragen 20, 23 und 24). Als die Polizei geklingelt habe, habe er die Türe geöffnet und sei mit einem Polizisten zur Bar gegangen (Antwort zu Frage 25). Mit diesen Ausführungen kann davon ausgegangen werden, dass der Beschwerdeführer Aufgaben verrichtet hat (das Öffnen der Türe, das Begleiten des Kunden an die Bar sowie das Bringen eines Aschenbechers), welche normalerweise durch einen Angestellten des Clubs ausgeführt werden. Durch das Hüten der Bar und insbesondere durch seine Präsenz als Türöffner hat er - unabhängig davon, wie hoch das Kundenaufkommen zum damaligen Zeitpunkt gewesen ist - dafür gesorgt, dass der Betrieb trotz Abwesenheit seines Cousins in gewohnter Weise aufrechterhalten werden konnte.</w:t>
      </w:r>
    </w:p>
    <w:p>
      <w:r>
        <w:rPr>
          <w:b/>
        </w:rPr>
        <w:t>E. 6.2.2</w:t>
      </w:r>
    </w:p>
    <w:p>
      <w:r>
        <w:t>Einschränkungen des Begriffs Erwerbstätigkeit können sich zwar dort ergeben, wo der besondere Charakter der Hilfeleistung gerade durch die verwandtschaftliche und emotionale Nähe zwischen den Beteiligten gewährleistet ist, die ausführende Person daher nicht durch einen Dritten ersetzt werden könnte, ohne dass der besondere Charakter der Hilfeleistung verloren ginge (vgl. Urteil BVGer C-1429/2013 vom 12. August 2013 E. 4.3 m.H.). Der Beschwerdeführer hat zwar angegeben, für seinen Cousin ein bis zwei Stunden die Bar zu "hüten", hingegen hätte diese Hilfestellung auch von jeder anderen beliebigen Person erbracht werden können, ohne dass auf die verwandtschaftliche Beziehung abzustellen gewesen wäre. Zu beachten gilt dabei auch, dass die Hilfestellung nicht in der privaten, sondern in der geschäftlichen Sphäre des Begünstigten erbracht wurde (Urteil BVGer C-6443/2013 vom 31. Ok­to­ber 2014 E. 6.5). Weiter kann auch der Umstand, dass die Erwerbstätigkeit (angeblich) ungeplant erfolgte, den Erwerbscharakter des Hütedienstes nicht in Frage stellen. Allerdings wird dieser Umstand bei der Prüfung der Verhältnismässigkeit zu berücksichtigen sein.</w:t>
      </w:r>
    </w:p>
    <w:p>
      <w:r>
        <w:rPr>
          <w:b/>
        </w:rPr>
        <w:t>E. 6.3</w:t>
      </w:r>
    </w:p>
    <w:p>
      <w:r>
        <w:t>Vor dem aufgezeigten Hintergrund sieht es das Bundesverwaltungsgericht als erwiesen an, dass der Beschwerdeführer einer Erwerbstätigkeit im Sinne von Art. 11 Abs. 2 AuG nachgegangen ist und damit gegen die öffentliche Sicherheit und Ordnung verstossen hat. Damit besteht unter dem Gesichtspunkt von Art. 67 Abs. 2 Bst. a AuG hinreichenden Anlass für die Verhängung eines Einreiseverbots.</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7.2</w:t>
      </w:r>
    </w:p>
    <w:p>
      <w:r>
        <w:t>Aus dem manifestierten Verhalten des Beschwerdeführers wird auf eine Gefährdung der öffentlichen Sicherheit und Ordnung geschlossen. An der Einhaltung der Rechtsordnung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die ausländerrechtliche Rechtsordnung des Gastlandes zu respektieren (zur Zulässigkeit der Berücksichtigung generalpräventiver Aspekte bei Drittstaatsangehörigen vgl. Urteil des BGer 2C_282/2012 vom 31. Juli 2012 E. 2.5 m.H. oder Urteil des BVGer C-1542/2015 vom 27. Januar 2016 E. 3.2 m.H.). Andererseits liegt eine spezialpräventive Zielsetzung der Massnahme darin, dass sie den Betroffenen ermahnt, bei einer allfälligen künftigen Wiedereinreise in die Schweiz nach Ablauf der Dauer des Einreiseverbots die für ihn geltenden Regeln einzuhalten. Grundsätzlich besteht somit ein öffentliches Interesse an seiner befristeten Fernhaltung. Dieses ist hingegen insofern zu relativieren, als die illegale Erwerbstätigkeit spontan erfolgte und nur sehr kurze Zeit andauerte. Der Beschwerdeführer weist zudem (soweit aus den Akten ersichtlich) keine Vorstrafen in der Schweiz auf.</w:t>
      </w:r>
    </w:p>
    <w:p>
      <w:r>
        <w:rPr>
          <w:b/>
        </w:rPr>
        <w:t>E. 7.3</w:t>
      </w:r>
    </w:p>
    <w:p>
      <w:r>
        <w:t>An privaten Interessen bringt der Beschwerdeführer vor, er habe nahe Verwandte in der Schweiz, welche er und seine Ehefrau regelmässig besuchen würden (vgl. Beschwerde vom 2. Juli 2015). In diesem Zusammenhang ist darauf hinzuweisen, dass der Beschwerdeführer die zeitweilige Suspension der Fernhaltemassnahme beantragen kann, falls wichtige Gründe vorliegen (Art. 67 Abs. 5 AuG). Zudem können Kontakte noch auf andere Weise gepflegt werden (z.B. SMS, WhatsApp, Briefverkehr, Telefonate, Skype, usw.). Zu denken wäre auch an einen Besuch der in der Schweiz lebenden Verwandten in Deutschland bzw. ausserhalb der Schweiz.</w:t>
      </w:r>
    </w:p>
    <w:p>
      <w:r>
        <w:rPr>
          <w:b/>
        </w:rPr>
        <w:t>E. 7.4</w:t>
      </w:r>
    </w:p>
    <w:p>
      <w:r>
        <w:t>Das verhängte Einreiseverbot ist demzufolge dem Grundsatz nach zu bestätigen. Hinsichtlich seiner Dauer erscheint es in Anbetracht des zu relativierenden öffentlichen Interesses (vgl. E. 7.2) als unverhältnismässig lang, weshalb es auf den Zeitpunkt des vorliegenden Entscheides zu begrenzen ist.</w:t>
      </w:r>
    </w:p>
    <w:p>
      <w:r>
        <w:rPr>
          <w:b/>
        </w:rPr>
        <w:t>E. 8</w:t>
      </w:r>
    </w:p>
    <w:p>
      <w:r>
        <w:t>Aus diesen Erwägungen ergibt sich, dass die Beschwerde teilweise gutzuheissen ist.</w:t>
      </w:r>
    </w:p>
    <w:p>
      <w:r>
        <w:rPr>
          <w:b/>
        </w:rPr>
        <w:t>E. 9.1</w:t>
      </w:r>
    </w:p>
    <w:p>
      <w:r>
        <w:t>Entsprechend dem Ausgang des Verfahrens sind die reduzieren Kosten von Fr. 700.-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9.2</w:t>
      </w:r>
    </w:p>
    <w:p>
      <w:r>
        <w:t>Im Umfang seines Obsiegens ist dem Beschwerdeführer zudem eine gekürzte Parteientschädigung in gerichtlich festzusetzender Höhe zuzusprechen (Art. 64 Abs. 1 VwVG i.V.m. Art. 7 ff.).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