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F-4127/2015 vom 20. März 2017</w:t>
      </w:r>
    </w:p>
    <w:p>
      <w:r>
        <w:t>Bundesverwaltungsgericht, 2017-03-20, DE</w:t>
      </w:r>
    </w:p>
    <w:p>
      <w:r>
        <w:rPr>
          <w:b/>
        </w:rPr>
        <w:t xml:space="preserve">Quelle: </w:t>
      </w:r>
      <w:r>
        <w:t>https://mcp.opencaselaw.ch/entscheid/bvger_F-4127_2015</w:t>
      </w:r>
    </w:p>
    <w:p>
      <w:r>
        <w:t>FR: TAF F-4127/2015 du 20 mars 2017</w:t>
      </w:r>
    </w:p>
    <w:p>
      <w:r>
        <w:t>IT: TAF F-4127/2015 del 20 marzo 2017</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(Art. 31 ff. VGG i.V.m. Art. 5 VwVG). Das Rechtsmittelverfahren richtet sich nach dem VwVG (Art. 37 VGG).</w:t>
      </w:r>
    </w:p>
    <w:p>
      <w:r>
        <w:rPr>
          <w:b/>
        </w:rPr>
        <w:t>E. 1.2</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Gemäss Art. 40 AuG sind die Kantone für die Erteilung und Verlängerung von Bewilligungen zuständig. Vorbehalten bleibt die Zuständigkeit des Bundes für das Zustimmungsverfahren, zu dessen Ausgestaltung Art. 99 AuG den Bundesrat ermächtigt. Aus dieser Ermächtigung resultiert Art. 85 VZAE (SR 142.201) der die Zuständigkeit für zustimmungspflichtige Bewilligungen und Vorentscheide dem SEM überträgt. Dessen Zuständigkeit ergibt sich sowohl aus dem ursprünglichen Wortlaut von Art. 85 VZAE (AS 2007 5497, 5526) als auch aus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Die Grundlage für das vorliegende Zustimmungsverfahren bildet Art. 4 Bst. d der eben erwähnten Verordnung. Gemäss Art. 86 Abs. 1 VZAE kann das SEM die Zustimmung ohne Bindung an die Beurteilung durch den Kanton verweigern oder mit Bedingungen verbinden (vgl. BGE 127 II 49 E. 3; Urteil des Bundesverwaltungsgerichts C-5179/2014 vom 8. Dezember 2015 E. 3.2).</w:t>
      </w:r>
    </w:p>
    <w:p>
      <w:r>
        <w:rPr>
          <w:b/>
        </w:rPr>
        <w:t>E. 4</w:t>
      </w:r>
    </w:p>
    <w:p>
      <w:r>
        <w:t>Gemäss Art. 42 Abs. 1 AuG haben ausländische Ehegatten von Schweizerinnen und Schweizern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w:t>
      </w:r>
    </w:p>
    <w:p>
      <w:r>
        <w:t>Vorliegend sind sowohl das Migrationsamt als auch die Vorinstanz davon ausgegangen, dass die eheliche Gemeinschaft mehr als drei Jahre bestanden hat (Art. 50 Abs. 1 Bst. a erster Teilsatz AuG). Angesichts der aktenkundigen Phasen der Trennung der Ehegatten (nicht näher bestimmte Dauer ab 31. Januar 2011; vom 5. Juni 2012 bis zum 30. August 2013; seit 25. Mai 2014) und der Schwierigkeiten zwischen den Ehegatten, die offenbar von Anfang an aufgetreten sind, scheint diese Schlussfolgerung nicht zwingend, wie auch die Vorinstanz in der angefochtenen Verfügung festhielt (Ziff. 6 S. 3). Allerdings ergeben sich aus den Akten keine erheblichen Zweifel an der Richtigkeit des zugrunde gelegten Sachverhalts, so dass das Bundesverwaltungsgericht davon absieht, weitere Untersuchungen anzustellen (vgl. Kölz/Häner/Bertschi, Verwaltungsverfahren und Verwaltungsrechtspflege des Bundes, 3. Aufl. 2013, Rz. 1044). Es bleibt somit die Integration als zweite, kumulative Voraussetzung von Art. 50 Abs. 1 Bst. a AuG zu prüfen.</w:t>
      </w:r>
    </w:p>
    <w:p>
      <w:r>
        <w:rPr>
          <w:b/>
        </w:rPr>
        <w:t>E. 6.1</w:t>
      </w:r>
    </w:p>
    <w:p>
      <w:r>
        <w:t>Eine erfolgreiche Integration im Sinne von Art. 50 Abs. 1 Bst. a AuG (vgl. auch Art. 77 Abs. 4 VZAE) liegt gemäss bundesgerichtlicher Rechtsprechung vor, wenn die ausländische Person in der Schweiz beruflich integriert ist und eine feste Anstellung hat, finanziell unabhängig ist, sich korrekt verhält und die örtliche Sprache beherrscht. In einem solchen Fall bedarf es "ernsthafter besonderer Umstände", um eine erfolgreiche Integration zu verneinen. Nicht erforderlich ist eine besonders qualifizierte berufliche Karriere. Auch das Fehlen besonders enger sozialer Beziehungen schliesst für sich allein eine erfolgreiche Integration nicht aus. Keine erfolgreiche Integration liegt vor, wenn die ausländische Person kein Erwerbseinkommen erwirtschaftet, das den Konsum zu decken vermag, und sie während einer substantiellen Zeitdauer Sozialhilfeleistungen bezogen hat, ohne dass sich die Situation hinreichend verbessert. Kurze Erwerbsunterbrüche hingegen schliessen eine erfolgreiche Integration ebenso wenig aus wie geringfügige Strafen (vgl. Urteile des Bundesgerichts 2C_895/2015 vom 29. Februar 2016 E. 3.1.1, 2C_1125/2014 vom 9. September 2015 E. 3.2.2 und 2C_329/2013 vom 27. November 2013 E. 2.1 je m.H.). Es genügt, wenn die erfolgreiche Integration während der Gültigkeitsdauer der aufgrund des ursprünglichen Anspruchs auf Verlängerung ausgestellten Aufenthaltsbewilligung erreicht wird, selbst wenn die Trennung zum Zeitpunkt des Entscheids bereits erfolgt ist (vgl. Urteil des Bundesgerichts 2C_175/2015 vom 30. Oktober 2015 E. 3.2.3 am Ende).</w:t>
      </w:r>
    </w:p>
    <w:p>
      <w:r>
        <w:rPr>
          <w:b/>
        </w:rPr>
        <w:t>E. 6.2.1</w:t>
      </w:r>
    </w:p>
    <w:p>
      <w:r>
        <w:t>Aus den Akten geht hervor, dass der Beschwerdeführer - nach nicht näher beschriebenen Erwerbstätigkeiten seit 2010 und einer Phase der Arbeitslosigkeit von November 2012 bis Januar 2013 - seit dem 10. Januar 2013 zunächst temporär und seit dem 23. September 2013 unbefristet bei der gleichen Firma angestellt ist. Diese Firma unterstützt den Beschwerdeführer sowohl in beruflicher Hinsicht als auch darüber hinaus. So erklärte sie sich am 17. Februar 2016 bereit, den Antrag des Beschwerdeführers auf eine Ausbildung zu prüfen und diese gegebenenfalls zu unterstützen (vgl. Beilage zu act. 28). Zudem hat sie ihm Unterstützung für die Bereinigung der Schuldensituation vermittelt (Beleg Nr. 5 [Beilage zu act. 1]) und im Laufe des Verfahrens mehrmals Empfehlungsschreiben verfasst. Der Vorwurf der Ehefrau, er habe die Arbeit immer wieder "geschmissen" (Akten SEM S. 248, vgl. auch S. 227), findet keine Bestätigung in den übrigen Akten. In beruflicher Hinsicht ist der Beschwerdeführer demnach seit Januar 2013 als integriert anzusehen.</w:t>
      </w:r>
    </w:p>
    <w:p>
      <w:r>
        <w:rPr>
          <w:b/>
        </w:rPr>
        <w:t>E. 6.2.2</w:t>
      </w:r>
    </w:p>
    <w:p>
      <w:r>
        <w:t>Was den Bezug von Sozialhilfe in den Jahren 2010 bis 2012 anbelangt, so ist dieser Zeitraum als substanzielle Dauer i.S. der erwähnten bundesgerichtlichen Rechtsprechung anzusehen. Allerdings führen der Beschwerdeführer und seine Ehefrau die Notwendigkeit, sich an die Sozialhilfe zu wenden, übereinstimmend auf die krankheitsbedingte Arbeitsunfähigkeit der Ehefrau und die damit einhergehende Einkommenseinbusse zurück (Akten SEM S. 181, 191, 319; act. 1 Ziff. 10). Laut Aufstellung der Sozialhilfebehörde für die (nicht näher bestimmte) Periode bis 31. Dezember 2014 erzielte der Beschwerdeführer sowohl ein Erwerbseinkommen als auch ein Einkommen aus Renten/Versicherungen (insgesamt Fr. 35'740.10), die allerdings viel höheren Gesamtausgaben gegenüberstanden, so dass sich der Nettobezug von Sozialhilfe auf mehr als Fr. 24'000.- belief (Akten SEM S. 270). Insgesamt kann dem Beschwerdeführer der Umstand des Sozialhilfebezugs nicht zur Last gelegt werden, da er Umständen geschuldet war, die er nicht beeinflussen konnte. Dass er es unterlassen hätte, alles Zumutbare zu unternehmen, um die Situation abzuwenden, findet in den Akten keine Grundlage. Vielmehr geht aus dem Auszug aus dem Sozialhilfekonto hervor, dass er ein, wenn auch geringes, Erwerbseinkommen erzielt hat. Zwar ist der Vorinstanz zuzustimmen, dass die Festigung der wirtschaftlichen Situation und damit die Unabhängigkeit von der Sozialhilfe erst zu einer Zeit gelungen ist, als frühere Abklärungen des Migrationsamts (Oktober 2012 - Februar 2014, vgl. Sachverhalt Bst. C.a) bereits im Gange waren. Allein diese zeitliche Koinzidenz genügt jedoch nicht, den Bezug von Sozialhilfe als Indiz für die mangelnde Integration des Beschwerdeführers zu beurteilen.</w:t>
      </w:r>
    </w:p>
    <w:p>
      <w:r>
        <w:rPr>
          <w:b/>
        </w:rPr>
        <w:t>E. 6.2.3</w:t>
      </w:r>
    </w:p>
    <w:p>
      <w:r>
        <w:t>Im Weiteren ist der Beschwerdeführer in den ersten Jahren seines Aufenthalts in der Schweiz immer wieder seinen finanziellen Verpflichtungen nicht nachgekommen und musste betrieben werden. Ein Betreibungsregisterauszug vom 11. März 2015 weist Betreibungen in der Höhe von mehr als Fr. 14'000.- und Verlustscheine von mehr als Fr. 8'000.- auf (Akten SEM S. 303 - 299). Die Ausstände wurden zumindest teilweise mittels Lohnpfändung getilgt (Akten SEM S. 301). Im Laufe des Jahres 2015 wurden weitere Schulden geregelt (Akten SEM S. 305; Belege 19 - 25 [Beilagen zu act. 12]). Vom 1. Oktober 2015 datiert ein als "Schuldanerkennung mit Ratenzahlungsvereinbarung" bezeichnetes Dokument, mit dem der Beschwerdeführer aufgefordert wird, sich mittels Unterschrift zu verpflichten, insgesamt Fr. 2'550.- an eine Immobilienfirma zu bezahlen (Beleg Nr. 29 [Beilage zu act. 18]). Aus dem Dokument geht nicht explizit hervor, um was für Schulden es sich handelt und in welchem Zeitraum sie entstanden sind. Es kann jedoch aufgrund der auf dem Dokument aufgeführten Adresse davon ausgegangen werden, dass es sich um Ausstände aus einem Mietverhältnis beider Ehegatten handelt (2010 - 2012 gemäss Meldescheinen, Akten SEM S. 57 bzw.151). Ob der Beschwerdeführer dieser Verpflichtung nachgekommen ist, geht aus den eingereichten Unterlagen nicht hervor. Am 9. Februar 2016 hat er sich sodann bereit erklärt, die während der Ehe bezogenen Sozialhilfeleistungen (Gesamtbetrag Fr. 24'576.90) auf freiwilliger Basis zurückzuerstatten (Beilage zu act. 24). Insgesamt betrachtet sind die Schulden beträchtlich. Dabei handelt es sich nicht nur um nicht bezahlte Handy-Rechnungen, die der Beschwerdeführer mit seiner Unbedarftheit nach der Einreise zu entschuldigen sucht (Akten SEM S. 191, 215). Vielmehr waren die Gläubiger - soweit konkret erkennbar - mehrheitlich Steuerbehörden, aber auch eine Krankenkasse. Dem Beschwerdeführer ist jedoch zugute zu halten, dass er die Schulden seit dem Jahr 2012 sukzessive getilgt hat, wenn auch zu Beginn nicht ganz freiwillig (Lohnpfändung seit Mai 2012, Akten SEM S. 301). So konnte das Migrationsamt in seiner Verfügung vom 10. Februar 2015 feststellen, dass eine Betreibung von knapp Fr. 792.25 verzeichnet sei, gegen die der Beschwerdeführer Rechtsvorschlag erhoben hätte, zudem bestünden fünf Verlustscheine von insgesamt Fr. 7'651.75 (Akten SEM S. 287 - 286). Allerdings ist mit der Vorinstanz davon auszugehen, dass sich der Beschwerdeführer erst unter dem Eindruck des drohenden Verlusts des Aufenthaltsrechts aktiv bemüht hat, die Schulden abzubauen. Auch wenn ihm zugute zu halten ist, dass er erst seit Januar 2013 über eine dauerhafte Arbeitsstelle verfügt, die ihm die finanzielle Unabhängigkeit ermöglicht hat, kann die prekäre Aufenthaltssituation bei der Beurteilung dieses Aspekts nicht ausgeblendet werden. Insgesamt spricht dieser Aspekt deshalb nur beschränkt zugunsten der Integration des Beschwerdeführers.</w:t>
      </w:r>
    </w:p>
    <w:p>
      <w:r>
        <w:rPr>
          <w:b/>
        </w:rPr>
        <w:t>E. 6.2.4</w:t>
      </w:r>
    </w:p>
    <w:p>
      <w:r>
        <w:t>Im Zusammenhang mit der sozialen und sprachlichen Integration des Beschwerdeführers geht aus den Akten hervor, dass dieser offenbar bereits vor seiner Einreise über Deutschkenntnisse verfügte (Akten SEM S. 2). Im Februar 2011 war er für seine Aussagen bei der Polizei (vgl. Sachverhalt Bst. B.a) nicht auf eine Übersetzung angewiesen (Akten SEM S. 82). Auch aus den Unterstützungsschreiben geht hervor, dass seine Sprachkenntnisse gut seien und er auch Schweizerdeutsch verstehe und mittlerweile teilweise spreche (Akten SEM S. 316, 314, 312; Beleg 12 [Beilage zu act. 12]; Beleg 27 [Beilage zu act. 18]; Beilage 4 zu act. 28). Die soziale Integration des Beschwerdeführers erfolgte offenbar zur Hauptsache über die Arbeitsstelle. Allerdings haben sich auch einzelne Freundschaften entwickelt, die nichts mit seiner beruflichen Tätigkeit zu tun haben. Bei den Freunden handelt es sich bis auf einen um Personen, die nicht aus seinem Kulturkreis stammen. Aus einem der Unterstützungsschreiben geht hervor, dass der Beschwerdeführer nicht viele, dafür einige gute Freunde habe (Beleg 14 [Beilage zu act. 12]). Insgesamt ist die sprachliche und soziale Integration des Beschwerdeführers als gut zu bezeichnen. Ausgehend von seiner beruflichen Tätigkeit, aber auch von anderen Lebensbereichen, hat sich der Beschwerdeführer ein soziales Umfeld aufgebaut. Dass von den eingereichten Empfehlungsschreiben mehrere von Mitgliedern der gleichen Familie verfasst sind und sich diese Beziehungen erst im Laufe des hängigen Aufenthaltsverfahrens intensiviert haben, wie die Vorinstanz bemängelt, erscheint nicht entscheidend. Es handelt sich um erwachsene Personen, die den Beschwerdeführer zwar durch Vermittlung von Familienmitgliedern vor knapp zwei Jahren kennen gelernt haben. Aus den eingereichten Schreiben geht jedoch hervor, dass sich eigenständige Freundschaften entwickelt haben.</w:t>
      </w:r>
    </w:p>
    <w:p>
      <w:r>
        <w:rPr>
          <w:b/>
        </w:rPr>
        <w:t>E. 6.2.5</w:t>
      </w:r>
    </w:p>
    <w:p>
      <w:r>
        <w:t>Zu Ungunsten der Integration des Beschwerdeführers sprechen die strafrechtlichen Verurteilungen (Sachverhalt Bst. B.b). Indem er mehrmals unter Alkoholeinfluss im Strassenverkehr unterwegs war (zuletzt 2014), hat er eine Vielzahl von Menschen gefährdet. Dass er sich in einer belastenden persönlichen Situation (Krankheit der Ehefrau) befunden habe und deshalb zu viel Alkohol getrunken habe, wie er als Entschuldigung vorbringt, ist angesichts der mehrfachen Begehung ebenso unbehelflich wie in Bezug auf die Verurteilung wegen Fahrens trotz entzogenen Führerscheins. Die der Verurteilung wegen Widerhandlungen gegen das Sozialgesetz zugrunde liegenden Vorfälle (Verletzung der Pflicht, Erwerbstätigkeit der Sozialhilfebehörde zu melden und ihr Einsicht in seine Kontoauszüge zu gewähren, Zeitraum von 1. Januar 2012 bis 24. April 2012), ist ebenfalls ein Indiz, das zu Ungunsten der Integration des Beschwerdeführers zu jenem Zeitpunkt spricht. In dieser Hinsicht ist auch noch zu erwähnen, dass er im Jahr 2012 einem für obligatorisch erklärten Anlass für Neuzuzüger unentschuldigt ferngeblieben ist, was der Integrationsdelegierte in seinem Schreiben zuhanden des Migrationsamts als mangelnde Integrationsbereitschaft interpretierte (Sachverhalt Bst. B.c).</w:t>
      </w:r>
    </w:p>
    <w:p>
      <w:r>
        <w:rPr>
          <w:b/>
        </w:rPr>
        <w:t>E. 6.2.6</w:t>
      </w:r>
    </w:p>
    <w:p>
      <w:r>
        <w:t>Die Ehefrau hat sowohl im Verfahren vor dem Migrationsamt (Akten SEM S. 253 - 247, 115, 86 - 85) als auch auf Beschwerdeebene (act. 11 und 14) gegen den Beschwerdeführer diverse, teilweise gravierende Vorwürfe erhoben. Auf Beschwerdeebene macht sie geltend, sich nur auf Druck des Beschwerdeführers positiv zur Ehe geäussert zu haben. Das überzeugt vor dem Hintergrund der Akten nicht. So hat sie sich gegenüber dem Migrationsamt immer wieder über den Beschwerdeführer beklagt, aber auch die positiven Seiten der Beziehung beschrieben. Hätte sie sich nur unter Druck positiv geäussert, wäre zu erwarten gewesen, dass sie ganz auf Vorwürfe verzichtet, insb. auf die gravierenden. Die meisten der geltend gemachten Vorwürfe spiegeln die Schwierigkeiten wieder, die nach der Erkrankung der Ehefrau aufgetreten sind (finanzielle Sorgen, Alkoholkonsum des Beschwerdeführers, psychische Belastung durch die Krankheit). Für die im vorliegenden Kontext gravierenden Vorwürfe gegen den Beschwerdeführer (Eingehen und Aufrechterhalten der Ehe zur Sicherung des Aufenthalts, aussereheliche Beziehung, Verschweigen von Kindern) enthalten die Akten ausser den Aussagen der Ehefrau keine Hinweise.</w:t>
      </w:r>
    </w:p>
    <w:p>
      <w:r>
        <w:rPr>
          <w:b/>
        </w:rPr>
        <w:t>E. 6.3</w:t>
      </w:r>
    </w:p>
    <w:p>
      <w:r>
        <w:t>Zusammenfassend ist festzuhalten, dass der Beschwerdeführer mittlerweile beruflich, sozial und sprachlich in der Schweiz gut integriert ist. Seine finanzielle Situation hat sich wesentlich verbessert und er kommt seinen diesbezüglichen Verpflichtungen nach. Gemäss bundesgerichtlicher Rechtsprechung spricht eine in dieser Hinsicht positive Entwicklung und Prognose zugunsten der Integration (vgl. Urteil des BGer 2C_283/2016 vom 23. Dezember 2016 E. 4.2 m.H.). Die in E. 6.2.5 aufgeführten Elemente sind Indizien, welche klar gegen die Integration sprechen. Allerdings überwiegen gesamthaft gesehen knapp die Elemente, die für eine erfolgreiche Integration im Sinne von Art. 50 Abs. 1 Bst. a AuG sprechen. Angesichts dieser Ausführungen erübrigt sich die Durchführung der beantragten Partei- und Zeugenbefragungen.</w:t>
      </w:r>
    </w:p>
    <w:p>
      <w:r>
        <w:rPr>
          <w:b/>
        </w:rPr>
        <w:t>E. 7</w:t>
      </w:r>
    </w:p>
    <w:p>
      <w:r>
        <w:t>Aus diesen Erwägungen folgt, dass der Beschwerdeführer gestützt auf Art. 50 Abs. 1 Bst. a AuG einen Anspruch auf Verlängerung seiner Aufenthaltsbewilligung hat und er demzufolge über einen Anspruch auf Zustimmung zu dieser Verfügung verfügt. Gründe nach Art. 51 Abs. 2 AuG, die den Anspruch zum Erlöschen bringen könnten, sind nicht ersichtlich. Somit erweist sich die vorinstanzliche Verfügung als bundesrechtwidrig (Art. 49 VwVG). Die Beschwerde ist demnach gutzuheissen, und der Verlängerung der Aufenthaltsbewilligung durch den zuständigen Kanton ist die Zustimmung zu erteilen.</w:t>
      </w:r>
    </w:p>
    <w:p>
      <w:r>
        <w:rPr>
          <w:b/>
        </w:rPr>
        <w:t>E. 8.1</w:t>
      </w:r>
    </w:p>
    <w:p>
      <w:r>
        <w:t>Für dieses Verfahren sind keine Kosten aufzuerlegen (vgl. Art. 63 Abs. 1 und Abs. 2 VwVG). Der einbezahlte Kostenvorschuss von Fr. 1'000.- ist dem Beschwerdeführer folglich zurückzuerstatten.</w:t>
      </w:r>
    </w:p>
    <w:p>
      <w:r>
        <w:rPr>
          <w:b/>
        </w:rPr>
        <w:t>E. 8.2</w:t>
      </w:r>
    </w:p>
    <w:p>
      <w:r>
        <w:t>Dem während des grössten Teils des Instruktionsverfahrens (bis 9. Februar 2016, vgl. Sachverhalt Bst. L) anwaltlich vertretenen Beschwerdeführer ist gestützt auf die Akten (Art. 14 Abs. 2 des Reglements vom 21. Februar 2008 über die Kosten und Entschädigungen vor dem Bundesverwaltungsgericht [VGKE, SR 173.320.2]) zulasten der Vorinstanz eine Parteientschädigung in der Höhe von pauschal Fr. 2'500.- zuzusprechen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