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F-4119/2022 vom 28. März 2023</w:t>
      </w:r>
    </w:p>
    <w:p>
      <w:r>
        <w:t>Bundesverwaltungsgericht, 2023-03-28, DE</w:t>
      </w:r>
    </w:p>
    <w:p>
      <w:r>
        <w:rPr>
          <w:b/>
        </w:rPr>
        <w:t xml:space="preserve">Quelle: </w:t>
      </w:r>
      <w:r>
        <w:t>https://mcp.opencaselaw.ch/entscheid/bvger_F-4119_2022</w:t>
      </w:r>
    </w:p>
    <w:p>
      <w:r>
        <w:t>FR: TAF F-4119/2022 du 28 mars 2023</w:t>
      </w:r>
    </w:p>
    <w:p>
      <w:r>
        <w:t>IT: TAF F-4119/2022 del 28 marzo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31 ff. VGG). Das Rechtsmittelverfahren richtet sich nach dem VwVG, soweit das VGG nichts anderes bestimmt (vgl. Art. 37 VGG).</w:t>
      </w:r>
    </w:p>
    <w:p>
      <w:r>
        <w:rPr>
          <w:b/>
        </w:rPr>
        <w:t>E. 1.2</w:t>
      </w:r>
    </w:p>
    <w:p>
      <w:r>
        <w:t>Die Beschwerdeführerin hat am vorangegangenen Einspracheverfahren teilgenommen und ist als Gastgeberin des Gesuchstellers durch die angefochtene Verfügung besonders berührt. Obwohl der fest anberaumte Besuchszeitraum inzwischen verstrichen ist, kann - aufgrund der Einreichung der Beschwerde - auf ein fortbestehendes Rechtsschutzinteresse geschlossen werden. Die Beschwerdeführerin ist daher zur Beschwerdeführung legitimiert (Art. 48 Abs. 1 VwVG). Auf die im Übrigen frist- und formgerecht eingereichte Beschwerde ist einzutreten (Art. 50 Abs. 1 und 52 Abs. 1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(vgl.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Der angefochtenen Verfügung liegt ein Gesuch eines türkischen Staatsangehörigen um Erteilung eines Visums zu Besuchszwecken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sowie die dazugehörigen gemeinschaftsrechtlichen Rechtsakte übernom-men hat. Das Ausländer- und Integrationsgesetz vom 16. Dezember 2005 (AIG, SR 142.20) und seine Ausführungsbestimmungen gelangen nur soweit zur Anwendung, als die Schengen-Assoziierungsabkommen keine abweichenden Bestimmungen enthalten (Art. 2 Abs. 2-5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w:t>
      </w:r>
    </w:p>
    <w:p>
      <w:r>
        <w:rPr>
          <w:b/>
        </w:rPr>
        <w:t>E. 3.4</w:t>
      </w:r>
    </w:p>
    <w:p>
      <w:r>
        <w:t>Voraussetzung zur Visumserteilung und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betroffene Person nicht bereit ist, das Hoheitsgebiet des Schengen-Raums fristgerecht wieder zu verlassen, ist eine Gefahr für die öffentliche Ordnung im Sinne von Art. 6 Abs. 1 Bst. e SGK anzunehmen.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Art. 5 Abs. 2 AIG; BVGE 2014/1 E. 4.3 und 4.4).</w:t>
      </w:r>
    </w:p>
    <w:p>
      <w:r>
        <w:rPr>
          <w:b/>
        </w:rPr>
        <w:t>E. 3.5</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Den Behörden kommt bei der Beurteilung, ob die Voraussetzungen für die Visumserteilung erfüllt sind, ein weiter Beurteilungsspielraum zu (BVGE 2014/1 E. 4.1.5 in fine).</w:t>
      </w:r>
    </w:p>
    <w:p>
      <w:r>
        <w:rPr>
          <w:b/>
        </w:rPr>
        <w:t>E. 3.6</w:t>
      </w:r>
    </w:p>
    <w:p>
      <w:r>
        <w:t>Aufgrund seiner türkischen Staatsangehörigkeit unterliegt der Gesuchsteller der Visumspflicht (vgl. Art. 8 Abs. 1 VEV i.V.m. Anhang I der in E. 3.3 erwähnten Verordnung [EU] 2018/1806; Art. 6 Abs. 1 Bst. b SGK).</w:t>
      </w:r>
    </w:p>
    <w:p>
      <w:r>
        <w:rPr>
          <w:b/>
        </w:rPr>
        <w:t>E. 4.1</w:t>
      </w:r>
    </w:p>
    <w:p>
      <w:r>
        <w:t>Die Vorinstanz verweigerte die Erteilung des beantragten Schengen-Visums mit der Begründung, das Risiko einer nicht anstandslosen Wiederausreise müsse als hoch beurteilt werden. Der Gesuchsteller stamme aus einer Region in der Türkei, aus welcher als Folge der dort in (sicherheits-) politischer und wirtschaftlicher Hinsicht herrschenden Verhältnisse der Zuwanderungsdruck anhalte. Ferner würden ihm in der Türkei keine über das übliche Mass hinausgehenden Verpflichtungen obliegen. Abgesehen vom eingereichten Familienregister bzw. einer Geburtsurkunde seien den Akten keine Angaben zu den familiären und persönlichen Verhältnissen zu entnehmen. Es sei zwar ersichtlich, dass er erwerbstätig sei. Seine berufliche Situation könne aber nicht als derart gefestigt erachtet werden, dass sie ihn von einer Emigration abzuhalten vermöchte, zumal er erst seit 2019 (recte: 2021) einer Erwerbstätigkeit nachgehe. Unter diesen Umständen könne die fristgerechte Ausreise des Gesuchstellers nicht als gesichert erachtet werden. Daran vermöchten die Umstände, dass er im Jahr 2013 ein Schengen-Visum erhalten sowie in C._______ gelebt habe, nichts zu ändern.</w:t>
      </w:r>
    </w:p>
    <w:p>
      <w:r>
        <w:rPr>
          <w:b/>
        </w:rPr>
        <w:t>E. 4.2</w:t>
      </w:r>
    </w:p>
    <w:p>
      <w:r>
        <w:t>In der Rechtsmitteleingabe macht die Beschwerdeführerin geltend, im Gegensatz zu einem grossen Teil der türkischen Bevölkerung verfüge der Gesuchsteller über eine unbefristete Anstellung in einem international tätigen Unternehmen und damit über ein regelmässiges Einkommen. Entsprechend sei seine berufliche Situation als gefestigt zu erachten. Zudem habe er in der Türkei ein breites familiäres und soziales Netz. Es sei somit nicht ersichtlich, inwiefern die fristgerechte Ausreise des Gesuchstellers nicht als gesichert erachtet werden könne. Dies umso mehr, als ihm bereits zweimal Schengen-Visa erteilt worden seien, wobei er jeweils fristgerecht ausgereist sei. Schliesslich liege eine Verletzung des Rechts auf Achtung des Familienlebens im Sinne von Art. 8 EMRK vor, da sie aufgrund ihres Alters nicht in der Lage sei, in die Türkei zu reisen.</w:t>
      </w:r>
    </w:p>
    <w:p>
      <w:r>
        <w:rPr>
          <w:b/>
        </w:rPr>
        <w:t>E. 4.3</w:t>
      </w:r>
    </w:p>
    <w:p>
      <w:r>
        <w:t>In der Vernehmlassung führt die Vorinstanz aus, soweit sich die Beschwerdeführerin auf Art. 8 EMRK berufe, sei festzuhalten, dass der Eingriff in das Recht auf Achtung des Familienlebens durch das überwiegende öffentliche Interesse gerechtfertigt sei. Die Beschwerdeführerin habe nicht nachweisen können, dass es ihr nicht möglich sei, in die Türkei oder in ein anderes Land ausserhalb des Schengen-Raums zu reisen.</w:t>
      </w:r>
    </w:p>
    <w:p>
      <w:r>
        <w:rPr>
          <w:b/>
        </w:rPr>
        <w:t>E. 4.4</w:t>
      </w:r>
    </w:p>
    <w:p>
      <w:r>
        <w:t>In der Replik bringt die Beschwerdeführerin vor, es sei ihnen nicht möglich, das Familienleben in der Türkei zu pflegen, da ihr Ehemann in der Schweiz als Flüchtling anerkannt worden sei. Sie selbst und ein Onkel des Gesuchstellers seien bereit, eine Garantiesumme für eine fristgerechte Ausreise zu hinterlegen.</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bei welcher alle Umstände des Einzelfalls zu würdigen sind.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Die Türkei befindet sich in einer schwierigen wirtschaftlichen Lage. Im Dezember 2022 erhöhten sich die Verbraucherpreise um 64,3 Prozent. Obwohl die Inflationsrate im Vergleich zum Vormonat um 20% gesunken ist, steigen die Preise weiterhin rasant (vgl. Der Spiegel, Inflation in der Türkei sinkt deutlich - auf 64 Prozent, 3. Januar 2023, https://www.spiegel.de/wirtschaft/service/tuerkei-inflation-sinkt-deutlich-auf-64-prozent-a-ea591456-8eb8-47a4-93ef-59b3494177a1, abgerufen am 16. März 2023). Weiterhin angespannt bleibt auch die innenpolitische Situation. In den grösseren Städten kann es wegen innenpolitischer Spannungen zu Demonstrationen und Ausschreitungen kommen. Trotz erhöhter Sicherheitsmassnahmen muss in allen Teilen der Türkei grundsätzlich von einer terroristischen Gefährdung ausgegangen werden. Bei einem Attentat auf einen Polizeiposten im September 2022 in der Provinz Mersin wurde eine Person getötet und zwei wurden verletzt. Am 13. November 2022 wurden in einer Einkaufsstrasse in Istanbul, wo der Gesuchsteller lebt, mehrere Personen getötet und zahlreiche verletzt (https://www.eda.admin.ch/eda/de/home/vertretungen-und-reisehinweise/tuerkei/reisehinweise-fuerdietuerkei.html#edaa46b31, publiziert am 14. Februar 2023, abgerufen am 16. März 2023).</w:t>
      </w:r>
    </w:p>
    <w:p>
      <w:r>
        <w:rPr>
          <w:b/>
        </w:rPr>
        <w:t>E. 5.3</w:t>
      </w:r>
    </w:p>
    <w:p>
      <w:r>
        <w:t>Vor diesem Hintergrund ist nicht zu beanstanden, dass die Vorinstanz das Risiko einer nicht fristgerechten Ausreise des Gesuchstellers aufgrund der allgemeinen Umstände in der Türkei als hoch einschätzt.</w:t>
      </w:r>
    </w:p>
    <w:p>
      <w:r>
        <w:rPr>
          <w:b/>
        </w:rPr>
        <w:t>E. 5.4</w:t>
      </w:r>
    </w:p>
    <w:p>
      <w:r>
        <w:t>Bei der Risikoanalyse sind allerdings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5.5</w:t>
      </w:r>
    </w:p>
    <w:p>
      <w:r>
        <w:t>Der 26-jährige Gesuchsteller ist ledig und lebt in Istanbul. Zwar ist eine gewisse familiäre Verwurzelung in der Türkei aufgrund seines dort lebenden Vaters, eines Onkels und zweier Cousins nicht zu verneinen. Aus den Akten ergeben sich aber keine Hinweise, die auf besondere familiäre oder gesellschaftliche Verpflichtungen schliessen lassen würden. Mit der Vor-instanz ist deshalb davon auszugehen, dass der Gesuchsteller aufgrund seiner persönlichen Situation keine Verpflichtungen hat, die besondere Gewähr für eine Rückkehr ins Heimatland bieten könnten.</w:t>
      </w:r>
    </w:p>
    <w:p>
      <w:r>
        <w:rPr>
          <w:b/>
        </w:rPr>
        <w:t>E. 5.6</w:t>
      </w:r>
    </w:p>
    <w:p>
      <w:r>
        <w:t>In Bezug auf die wirtschaftlichen Verhältnisse ist den Akten zu entnehmen, dass der Gesuchsteller seit September 2021 in einem 100% Pensum als (...) bei D.________ arbeitet. Gemäss einer Lohnabrechnung von April 2022 erzielt er ein Einkommen von 4'253 türkischen Lira (Fr. 204.-). Der Bestätigung der E._______ vom 20. Mai 2022 lässt sich entnehmen, dass er über ein Vermögen von 9'100 US-Dollar und 5'743 türkische Lira (Fr. 275.-) verfügt. Die Herkunft des Vermögensbetrags in US-Dollar ist aus den Akten nicht ersichtlich. Es bleibt demnach unklar, ob es sich dabei um selbsterwirtschaftetes Vermögen oder Unterstützungsleistungen handelt. Eine über eine längere Zeit erfolgte Dokumentation der Lohnzahlung mittels Lohnabrechnungen oder Bankauszügen erfolgte nicht. Die im April 2022 erhaltene Lohnzahlungen lässt jedenfalls nicht bereits auf solide berufliche Verhältnisse schliessen. Der Gesuchsteller wird denn auch gemäss einem Schreiben vom 3. November 2022 von seinem Onkel finanziell unterstützt. Ferner gab die Beschwerdeführerin an, sie übernehme die Reise- und die Lebenshaltungskosten. Vor diesem Hintergrund kann nicht von stabilen wirtschaftlichen Verhältnissen ausgegangen werden kann, welche den Gesuchsteller von einer Emigration abzuhalten vermöchten.</w:t>
      </w:r>
    </w:p>
    <w:p>
      <w:r>
        <w:rPr>
          <w:b/>
        </w:rPr>
        <w:t>E. 5.7</w:t>
      </w:r>
    </w:p>
    <w:p>
      <w:r>
        <w:t>An dieser Einschätzung vermag die Tatsache, dass sich der Gesuchsteller im Jahr 2013 mit einem Schengen-Visum in der Schweiz aufgehalten hat und fristgerecht ausgereist ist, nichts zu ändern. Die wirtschaftliche und politische Situation in der Türkei hat sich seither signifikant verschlechtert. Im Hinblick auf die Wiederausreise ist dieser frühere Besuchsaufenthalt daher nicht vergleichbar.</w:t>
      </w:r>
    </w:p>
    <w:p>
      <w:r>
        <w:rPr>
          <w:b/>
        </w:rPr>
        <w:t>E. 5.8</w:t>
      </w:r>
    </w:p>
    <w:p>
      <w:r>
        <w:t>Vor dem dargelegten allgemeinen und persönlichen Hintergrund durfte die Vorinstanz davon ausgehen, dass keine hinreichende Gewähr für eine fristgerechte anstandslose Wiederausreise des Gesuchstellers nach einem Besuchsaufenthalt besteht. An dieser Einschätzung vermag die Bereitschaft der Beschwerdeführerin und eines Onkels des Gesuchstellers, eine Garantiesumme zu hinterlegen, nichts zu ändern. Die Beschwerdeführerin kann zwar als Gastgeberin mit rechtlich verbindlicher Wirkung für gewisse finanzielle Risiken im Zusammenhang mit dem Besuchsaufenthalt, nicht aber für ein bestimmtes Verhalten der eingeladenen Person einstehen (vgl. BVGE 2014/1 E. 6.3.7 und BVGE 2009/27 E. 9). Demnach wurde das Visum für den Schengen-Raum zu Recht verweigert.</w:t>
      </w:r>
    </w:p>
    <w:p>
      <w:r>
        <w:rPr>
          <w:b/>
        </w:rPr>
        <w:t>E. 6.1</w:t>
      </w:r>
    </w:p>
    <w:p>
      <w:r>
        <w:t>Die Beschwerdeführerin beantragt eventualiter, dem Gesuchsteller sei ein Visum mit räumlich beschränkter Gültigkeit auszustellen.</w:t>
      </w:r>
    </w:p>
    <w:p>
      <w:r>
        <w:rPr>
          <w:b/>
        </w:rPr>
        <w:t>E. 6.2</w:t>
      </w:r>
    </w:p>
    <w:p>
      <w:r>
        <w:t>Ein Visum mit räumlich beschränkter Gültigkeit kann erteilt werden, wenn ein Mitgliedstaat es aus humanitären, aus Gründen des nationalen Interesses oder aufgrund internationaler Verpflichtungen für erforderlich hält (vgl. Art. 3 Abs. 4 und Abs. 5 VEV, Art. 25 Abs. 1 Bst. a VK; ebenso Art. 6 Abs. 5 Bst. c SGK).</w:t>
      </w:r>
    </w:p>
    <w:p>
      <w:r>
        <w:rPr>
          <w:b/>
        </w:rPr>
        <w:t>E. 6.3</w:t>
      </w:r>
    </w:p>
    <w:p>
      <w:r>
        <w:t>Art. 8 EMRK und Art. 13 Abs. 1 BV schützen das Familienleben als solches und insbesondere die Kernfamilie (BGE 144 I 266 E. 3.3; 135 I 143 E. 3.1). Bei hinreichender Intensität sind auch Beziehungen zwischen nahen Verwandten, namentlich solche von erwachsenen Kindern zu ihren Eltern oder unter Geschwistern wesentlich. In diesem Fall setzt die Berufung auf Art. 8 Abs. 1 EMRK jedoch voraus, dass zwischen den beteiligten Personen ein über die normalen affektiven Bindungen hinausgehendes Abhängigkeitsverhältnis besteht (BGE 144 II 1 E. 6.1; 137 I 154 E. 3.4.2).</w:t>
      </w:r>
    </w:p>
    <w:p>
      <w:r>
        <w:rPr>
          <w:b/>
        </w:rPr>
        <w:t>E. 6.4</w:t>
      </w:r>
    </w:p>
    <w:p>
      <w:r>
        <w:t>Ein Abhängigkeitsverhältnis im Sinne der Rechtsprechung zwischen der Beschwerdeführerin und dem Gesuchsteller wird nicht geltend gemacht und ist auch nicht ersichtlich. Die Beziehung fällt folglich nicht in den Schutzbereich des Rechts auf Achtung des Familienlebens gemäss Art. 8 Ziff. 1 EMRK. Davon abgesehen kann den Beteiligten zugemutet werden, das Familienleben beziehungsweise familiäre Kontakte ausserhalb der Schweiz zu pflegen (BGE 144 II 1 E. 6.1; 143 I 21 E. 5.1; 137 I 247 E. 4.1.2; 135 I 143 E. 2.2; BVGE 2011/48 E. 6.3.1), zumal die Beschwerdeführerin nicht belegt, dass sie aufgrund ihres Alters nicht reisefähig sein sollte. Der Kontakt zwischen dem Gesuchsteller und seinem Stiefvater, welcher in der Schweiz als Flüchtling anerkannt worden ist, kann durch persönliche Treffen in einem Drittstaat oder mittels elektronischer Kommunikationsmittel aufrechterhalten werden. Demzufolge bestehen keine Gründe, dem Gesuchsteller ein Visum mit räumlich beschränkter Gültigkeit auszustellen.</w:t>
      </w:r>
    </w:p>
    <w:p>
      <w:r>
        <w:rPr>
          <w:b/>
        </w:rPr>
        <w:t>E. 7</w:t>
      </w:r>
    </w:p>
    <w:p>
      <w:r>
        <w:t>Die angefochtene Verfügung erweist sich somit im Lichte von Art. 49 VwVG als rechtmässig. Die Beschwerde ist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Diese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