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F-4114/2023 vom 31. Oktober 2024</w:t>
      </w:r>
    </w:p>
    <w:p>
      <w:r>
        <w:t>Bundesverwaltungsgericht, 2024-10-31, FR</w:t>
      </w:r>
    </w:p>
    <w:p>
      <w:r>
        <w:rPr>
          <w:b/>
        </w:rPr>
        <w:t xml:space="preserve">Quelle: </w:t>
      </w:r>
      <w:r>
        <w:t>https://mcp.opencaselaw.ch/entscheid/bvger_F-4114_2023</w:t>
      </w:r>
    </w:p>
    <w:p>
      <w:r>
        <w:t>FR: TAF F-4114/2023 du 31 octobre 2024</w:t>
      </w:r>
    </w:p>
    <w:p>
      <w:r>
        <w:t>IT: TAF F-4114/2023 del 31 ottobre 2024</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 délai prescrits par la loi, le recours est recevable (art. 22a al. 1 let. b, 50 al. 1 et 52 al. 1 PA).</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 2014/1 consid. 2).</w:t>
      </w:r>
    </w:p>
    <w:p>
      <w:r>
        <w:rPr>
          <w:b/>
        </w:rPr>
        <w:t>E. 3.1</w:t>
      </w:r>
    </w:p>
    <w:p>
      <w:r>
        <w:t>En tant que ressortissante afghane, la recourante est soumise à l’obli- gation de visa pour l’entrée en Suisse, conformément à l’art. 9 de l’ordon- nance du 15 août 2018 sur l’entrée et l’octroi de visa (OEV, RS 142.204). L’intéressée projetant un séjour de longue durée en Suisse, c’est à bon droit que sa demande n’a pas été examinée à l’aune de la réglementation sur les visas Schengen mais selon les règles du droit national (cf. ATAF 2018 VII/5 consid. 3.5 et 3.6.1).</w:t>
      </w:r>
    </w:p>
    <w:p>
      <w:r>
        <w:rPr>
          <w:b/>
        </w:rPr>
        <w:t>E. 3.2</w:t>
      </w:r>
    </w:p>
    <w:p>
      <w:r>
        <w:t>En vertu de l'art. 4 al. 2 OEV (en relation avec l'art. 5 al. 4 LEI ; cf., à ce sujet, ATAF 2018 VII/5 consid. 3.6.1), l’étranger qui ne remplit pas les conditions de l'al. 1 peut être, dans des cas dûment justifiés, autorisé pour</w:t>
      </w:r>
    </w:p>
    <w:p>
      <w:r>
        <w:t>F-4114/2023 Page 5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(cf. arrêt du TAF F-5646/2018 du 1er novembre 2018 con- sid. 5.3.2, non publié in ATAF 2018 VII/5), de manière à rendre impérative l'intervention des autorités et à justifier l’octroi d’un visa d’entrée en Suisse. Tel peut être le cas, par exemple, dans les situations de conflit armé parti- culièrement aiguës ou pour échapper à une menace personnelle réelle et imminente (cf. ATAF 2018 VII/5 précité consid. 3.6.3).</w:t>
      </w:r>
    </w:p>
    <w:p>
      <w:r>
        <w:rPr>
          <w:b/>
        </w:rPr>
        <w:t>E. 3.3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(cf. ATAF 2018 VII/5 précité ibid.).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w:t>
      </w:r>
    </w:p>
    <w:p>
      <w:r>
        <w:rPr>
          <w:b/>
        </w:rPr>
        <w:t>E. 3.4</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F-4139/2022 du 19 juin 2023 consid. 3.2).</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w:t>
      </w:r>
    </w:p>
    <w:p>
      <w:r>
        <w:t>F-4114/2023 Page 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(cf. ATF 142 II 265 consid. 3.2 ; arrêt du TF 2C_1056/2022 précité consid. 4.1). Il est d’ailleurs dans l’intérêt de l’étranger de collaborer à l’établissement des faits pertinents, du fait qu’il risque, à défaut, de devoir supporter l’absence de preuve des faits dont il entend tirer un droit (art. 8 CC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 F-2107/2022 du 3 juillet 2023 consid. 3.3).</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 810/2009 du Parlement européen et du Conseil du 13 juillet 2009 établissant un code communautaire des visas [code des visas, JO L 243 du 15.09.2009] ; cf. arrêts du TAF F-1077/2022 précité consid. 5.4.2 ; F-3702/2022 du 13 novembre 2023 consid. 7.2 et réf. cit.).</w:t>
      </w:r>
    </w:p>
    <w:p>
      <w:r>
        <w:rPr>
          <w:b/>
        </w:rPr>
        <w:t>E. 4.3</w:t>
      </w:r>
    </w:p>
    <w:p>
      <w:r>
        <w:t>Le degré de la preuve applicable en matière d’asile (art. 7 LAsi [RS 142.31]) n’est ainsi pas suffisant pour établir l’existence d’une mise en</w:t>
      </w:r>
    </w:p>
    <w:p>
      <w:r>
        <w:t>F-4114/2023 Page 7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w:t>
      </w:r>
    </w:p>
    <w:p>
      <w:r>
        <w:rPr>
          <w:b/>
        </w:rPr>
        <w:t>E. 5</w:t>
      </w:r>
    </w:p>
    <w:p>
      <w:r>
        <w:t>En l’occurrence, il convient d’examiner si c’est à bon droit que le SEM a retenu que l’intéressée ne se trouvait pas dans une situation de danger imminent résultant d’une menace directe, sérieuse et concrète justifiant l’octroi d’un visa national pour motif humanitaire en sa faveur au sens de l’art. 4 al. 2 OEV.</w:t>
      </w:r>
    </w:p>
    <w:p>
      <w:r>
        <w:rPr>
          <w:b/>
        </w:rPr>
        <w:t>E. 5.1</w:t>
      </w:r>
    </w:p>
    <w:p>
      <w:r>
        <w:t>La recourante soutient, en premier lieu, que sa maison a été prise pour cible par les Talibans, car elle était soupçonnée d’avoir indiqué aux autorités afghanes la présence d’un repère de Talibans non loin de son domicile. Selon ses dires, après avoir attaqué sa propriété en février 2021, les Talibans auraient tiré sur son domicile, la forçant ainsi à se cacher dans différents endroits de la capitale avant de prendre la fuite vers l’Iran. Afin d’étayer ses propos, l’intéressée fait référence aux différents moyens de preuve ayant été présentés devant le SEM, soit des photographies ainsi qu’une vidéo de sa maison sur lesquelles on peut apercevoir des impacts de balles.</w:t>
      </w:r>
    </w:p>
    <w:p>
      <w:r>
        <w:rPr>
          <w:b/>
        </w:rPr>
        <w:t>E. 5.2</w:t>
      </w:r>
    </w:p>
    <w:p>
      <w:r>
        <w:t>A supposer qu’il s’agisse effectivement de la propriété de la recourante, force est de constater que lesdites pièces ne revêtent qu’une faible valeur probante, dans la mesure où l’on ne peut affirmer avec certitude que ces tirs ont été la conséquence d’une potentielle dénonciation comme le soutient l’intéressée à l’appui de son recours. En outre, durant plus de vingt années de guerre, la ville de Kaboul a été le théâtre de nombreux affrontements armés ; rien ne prouve qu’il s’agisse effectivement de représailles visant spécifiquement la recourante ainsi que sa famille. A cela s’ajoute que les explications de la recourante ainsi que de sa fille manquent de crédibilité, compte tenu de leurs incohérences (cf. les déclarations de l’une et de l’autre s’agissant des motifs de l’attaque des Talibans contre le domicile familial).</w:t>
      </w:r>
    </w:p>
    <w:p>
      <w:r>
        <w:t>F-4114/2023 Page 8</w:t>
      </w:r>
    </w:p>
    <w:p>
      <w:r>
        <w:rPr>
          <w:b/>
        </w:rPr>
        <w:t>E. 5.3</w:t>
      </w:r>
    </w:p>
    <w:p>
      <w:r>
        <w:t>Compte tenu de ce qui précède, le Tribunal ne saurait tenir pour établi que la prétendue attaque des Talibans du 8 février 2021 visait spécifiquement la recourante.</w:t>
      </w:r>
    </w:p>
    <w:p>
      <w:r>
        <w:rPr>
          <w:b/>
        </w:rPr>
        <w:t>E. 6.1</w:t>
      </w:r>
    </w:p>
    <w:p>
      <w:r>
        <w:t>Par ailleurs, la recourante estime que le statut de sa fille – une athlète (…) ayant été politiquement active dans la défense de la liberté de la femme en Afghanistan – fait peser sur elle un risque fondé de persécution. A cela s’ajoute le fait que, selon l’intéressée, tous les membres de sa famille ont fui l’Afghanistan et ont obtenu une protection dans un pays tiers. A cet égard, le Tribunal ne remet pas en question le profil à risque présenté par la fille de l’intéressée, étant relevé que cette dernière a obtenu l’asile en Suisse. Se pose néanmoins la question de savoir si, dans le cas d’espèce, ce profil à risque est suffisant pour constituer une menace directe, sérieuse et concrète sur la recourante, par effet réflexe. Afin de démontrer les risques encourus, la recourante n’a pas avancé d’autres arguments que celui de la prétendue attaque contre sa maison (cf. consid. 5.1 ci-dessus). Il n’en demeure pas moins que si cette incursion a véritablement un lien avec le statut particulier de la fille de l’intéressée, plusieurs années se sont écoulées depuis lors. Entre-temps, la recourante s’est rendue une première fois en Iran, le 29 juin 2022 et cela, sans faire l’objet de contrôles plus approfondis à l’aéroport de Kaboul. Une fois son visa échu, elle est retournée en Afghanistan entre le 6 octobre et le 21 novembre 2022, soit pendant un mois et demi, avant de repartir pour l’Iran, à nouveau en partance de l’aéroport de Kaboul. Il appert ainsi que le profil de la recourante ne semble pas, à lui seul, de nature à attirer l’attention des Talibans. Il l’est d’autant moins que, contrairement à sa fille, la recourante n’a jamais exercé de fonctions spécifiquement exposées, tant sur le plan professionnel que politique. En effet, il ressort du dossier que l’intéressée a exercé une activité lucrative dans le domaine des télécommunications lorsque ses enfants étaient en bas âge. Au surplus, aucune pièce n’a été produite au sujet d’une éventuelle activité sensible, antérieure ou actuelle, permettant de penser qu’elle serait exposée à de potentielles représailles de la part des Talibans.</w:t>
      </w:r>
    </w:p>
    <w:p>
      <w:r>
        <w:rPr>
          <w:b/>
        </w:rPr>
        <w:t>E. 6.2</w:t>
      </w:r>
    </w:p>
    <w:p>
      <w:r>
        <w:t>Par voie de conséquence, le Tribunal retient que les allégations de la recourante ainsi que les pièces produites ne suffisent pas à démontrer une menace directe, sérieuse et concrète contre elle. On rappellera, à ce titre, que le degré de preuve est plus élevé s’agissant de l’octroi de visas humanitaires que celui applicable lors de la procédure d’asile</w:t>
      </w:r>
    </w:p>
    <w:p>
      <w:r>
        <w:t>F-4114/2023 Page 9 (cf. consid. 4.3 ci-dessus). Ainsi, la reconnaissance, en faveur de la fille de la recourante, du statut de réfugiée en Suisse en 2021 n’est pas un argument décisif pour l’octroi d’un visa humanitaire en faveur de sa mère, de surcroît par le biais d’une menace par ricochet (cf., notamment, arrêt du TAF F-502/2023 du 8 mai 2024 consid. 6.1.4). C’est ici le lieu de préciser que, même si le Tribunal ne méconnaît pas le fait que la situation des femmes et des filles en Afghanistan n'a cessé de se dégrader depuis la prise de pouvoir des Talibans en août 2021 – et nonobstant le fait que les requérantes d’asile afghanes puissent être considérées comme victimes de persécution, la seule existence d’un éventuel motif de fuite pertinent en matière d’asile ne suffit pas pour l’obtention d’un visa humanitaire (cf. arrêt du TAF F-1451/2022 du 27 mars 2024 consid. 7.1 et 7.5 ss., prévu pour publication). Quoi qu’il en soit, la recourante n’a pas établi être plus menacée dans sa vie ou son intégrité physique, en cas de retour dans son pays d’origine, que ses compatriotes afghanes.</w:t>
      </w:r>
    </w:p>
    <w:p>
      <w:r>
        <w:rPr>
          <w:b/>
        </w:rPr>
        <w:t>E. 7.1</w:t>
      </w:r>
    </w:p>
    <w:p>
      <w:r>
        <w:t>A l’appui de son recours, l’intéressée fait également référence à son fils prétendument disparu du domicile de son frère le 29 juin 2022. A cet égard, elle soutient qu’il aurait été kidnappé et tué par les Talibans et qu’elle se serait présentée au poste de police le jour-même pour déclarer sa disparition. Toujours selon la recourante, suite à l’enlèvement de son fils, elle aurait quitté l’Afghanistan pour se rendre en Iran puis serait retournée dans son pays d’origine entre le 6 octobre 2022 et le 21 novembre 2022 afin de le retrouver, en vain.</w:t>
      </w:r>
    </w:p>
    <w:p>
      <w:r>
        <w:rPr>
          <w:b/>
        </w:rPr>
        <w:t>E. 7.2</w:t>
      </w:r>
    </w:p>
    <w:p>
      <w:r>
        <w:t>Toute tragique que soit la disparition de son fils, il n’a, en l’absence de moyen de preuve produit, pas été établi, à satisfaction de droit, que ce dernier avait effectivement été assassiné ni même kidnappé par les Talibans. Il aurait été attendu de la recourante qu’elle produise, à tout le moins, un document attestant qu’elle se soit effectivement rendue dans un poste de police pour annoncer la disparition de son fils. A cet égard, il sied de rappeler, une nouvelle fois, que le degré de preuve requis est plus élevé pour la délivrance d’un visa humanitaire que pour l’octroi de l’asile (cf. consid. 4.3 ci-dessus). Enfin, le fait que la recourante se soit rendue dans son pays d’origine pour rechercher son fils (cf. supra, consid. 3.4) plaide également en défaveur de l’octroi d’un visa humanitaire, quand bien même cette démarche – sur le plan personnel – s’avère compréhensible.</w:t>
      </w:r>
    </w:p>
    <w:p>
      <w:r>
        <w:t>F-4114/2023 Page 10</w:t>
      </w:r>
    </w:p>
    <w:p>
      <w:r>
        <w:rPr>
          <w:b/>
        </w:rPr>
        <w:t>E. 7.3</w:t>
      </w:r>
    </w:p>
    <w:p>
      <w:r>
        <w:t>En ce qui concerne l’état de santé de la recourante ainsi que ses conditions d’existence, il ressort des pièces du dossier qu’elle allègue souffrir d’hypertension et de maux d’estomac. Nonobstant le fait qu’elle n’a pas invoqué ce grief à l’appui de son recours, il sied de souligner que ces pathologies ne constituent pas des menaces concrètes, immédiates et sérieuses d’atteinte à son intégrité physique ou à sa vie justifiant l’octroi d’un visa humanitaire dans le sens de la jurisprudence restrictive en la matière (cf. arrêt du TAF F-252/2023 du 1er septembre 2023 consid. 6.4 et les réf. cit.). Si le Tribunal ne remet pas en cause les conditions difficiles dans lesquelles se trouve actuellement la recourante, il ne saurait cependant retenir que cette dernière est dans un état de nécessité tel qu’elle requerrait impérativement l’intervention des autorités helvétiques.</w:t>
      </w:r>
    </w:p>
    <w:p>
      <w:r>
        <w:rPr>
          <w:b/>
        </w:rPr>
        <w:t>E. 7.4</w:t>
      </w:r>
    </w:p>
    <w:p>
      <w:r>
        <w:t>Quant au risque d’expulsion de l’Iran vers l’Afghanistan, le Tribunal constate que l’intéressée est entrée en Iran le 29 juin 2022 au bénéfice d’un visa valable 45 jours et qu’elle y a séjourné jusqu’au 6 octobre 2022. A cet égard, la recourante soutient avoir dû payer une amende de IRR 2'000'000.- pour dépassement de la validité de son visa. Elle s’est ensuite à nouveau rendue dans ce même pays, au cours du mois de novembre 2022, cette fois-ci au bénéfice d’un visa valable 90 jours et y a séjourné légalement durant la validité dudit visa, soit jusqu’au 20 février 2023. La recourante était ainsi éligible au programme mis en place en avril 2023 par les autorités iraniennes pour permettre à certaines catégories de ressortissants afghans de prolonger leur séjour dans ce pays (cf. arrêt du TAF F-488/2023 du 24 avril 2024 consid. 8.3 ; voir également https://help.unhcr.org/iran/en/2023/05/01/announcement-on-the- extension-of-expired-visas/, consulté le 05.09.2024).</w:t>
      </w:r>
    </w:p>
    <w:p>
      <w:r>
        <w:rPr>
          <w:b/>
        </w:rPr>
        <w:t>E. 7.5</w:t>
      </w:r>
    </w:p>
    <w:p>
      <w:r>
        <w:t>Toutefois, il semble que l’attitude négative des Iraniens envers les ressortissants afghans se soit renforcée suite aux récentes élections présidentielles de juillet 2024 en Iran (cf. Foreign Policy, Afghan Asylum Seekers Face Hostility in Iran, du 3 juillet 2024 : www.foreignpolicy.com/2024/07/03/iran-afghan-refugees-election- discrimination-deportation/, consulté le 02.09.2024). A cet égard, certaines sources font état d’une augmentation du nombre de déportations de ressortissants afghans en Iran (cf. France24, Ghettoes, clashes and Afghanophobia : post-Taliban refugees in Iran, du 19 juillet 2024 : www.observers.france24.com/en/middle-east/20240719-ghettoes- clashes-afghanophobia-post-taliban-refugees-iran, consulté le 02.09. 2024).</w:t>
      </w:r>
    </w:p>
    <w:p>
      <w:r>
        <w:t>F-4114/2023 Page 11</w:t>
      </w:r>
    </w:p>
    <w:p>
      <w:r>
        <w:rPr>
          <w:b/>
        </w:rPr>
        <w:t>E. 7.6</w:t>
      </w:r>
    </w:p>
    <w:p>
      <w:r>
        <w:t>Cependant, indépendamment de ce qui précède, rien ne permet d’affirmer que la recourante ait rencontré de quelconques difficultés dans son actuel pays de résidence ou encore que les autorités iraniennes aient pris des mesures en vue d’un potentiel renvoi vers l’Afghanistan. Qui plus est, le représentant de la recourante n’a pas fait part au Tribunal d’une éventuelle dégradation de la situation de sa mandante depuis le dernier échange d’écritures au mois de décembre 2023. Dans ce contexte, il n’y a pas lieu de considérer que l’intéressée risque, en l’état, d’être renvoyée d’Iran. En définitive, quand bien même un renvoi d’Iran devait être prononcé à l’encontre de la recourante, cette dernière ne présente pas un profil à risque justifiant l’octroi d’un visa humanitaire (cf. consid. 5.1 à 5.3 ci-dessus).</w:t>
      </w:r>
    </w:p>
    <w:p>
      <w:r>
        <w:rPr>
          <w:b/>
        </w:rPr>
        <w:t>E. 7.7</w:t>
      </w:r>
    </w:p>
    <w:p>
      <w:r>
        <w:t>Enfin, quand bien même le désir de la recourante de pouvoir se rendre auprès de sa fille est compréhensible, la seule présence de cette dernière en Suisse ne saurait suffire à justifier l’octroi d’un visa humanitaire à l’intéressée (cf. arrêt du TAF F-5298 du 8 janvier 2024 consid. 6.5). Par surabondance, sous peine de vider de son sens l’objectif humanitaire du visa du même nom, l’on ne saurait admettre que celui-ci vise à permettre le regroupement familial des ascendants de réfugiés reconnus en Suisse (au sujet de la restriction du champ des bénéficiaires de l’asile familial sous l’angle de l’art. 51 LAsi, cf. ATAF 2015/29 consid. 4.2.3).</w:t>
      </w:r>
    </w:p>
    <w:p>
      <w:r>
        <w:rPr>
          <w:b/>
        </w:rPr>
        <w:t>E. 8</w:t>
      </w:r>
    </w:p>
    <w:p>
      <w:r>
        <w:t>Au vu de ce qui précède, force est de constater que la recourante ne serait pas exposée, en cas de retour en Afghanistan, à un danger immédiat, sérieux et concret pour sa vie ou son intégrité corporelle au sens de l’art. 4 al. 2 OEV. En outre, il ne s’agit pas d’une situation d’urgence particulière nécessitant impérativement l’intervention des autorités suisses et justifiant exceptionnellement l’octroi d’un visa d’entrée. Il s'ensuit que, par sa décision du 23 juin 2023,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t>F-4114/2023 Page 12</w:t>
      </w:r>
    </w:p>
    <w:p>
      <w:r>
        <w:rPr>
          <w:b/>
        </w:rPr>
        <w:t>E. 9</w:t>
      </w:r>
    </w:p>
    <w:p>
      <w:r>
        <w:t>Vu l'issue de la cause, il y aurait lieu de mettre les frais de procédure à la charge de la recourante (art. 63 al. 1 PA et art. 1 à 3 du règlement du 21 février 2008 concernant les frais, dépens et indemnités fixés par le Tribunal administratif fédéral [FITAF, RS 173.320.2]). L’intéressée ayant toutefois été mise au bénéfice de l’assistance judiciaire partielle (art. 65 al. 1 PA), il n’est pas perçu de frais de procédure. Succombant, la recourante n'a, par ailleurs, pas droit à des dépens (art. 64 al. 1 PA).</w:t>
      </w:r>
    </w:p>
    <w:p>
      <w:r>
        <w:t>(dispositif page suivante)</w:t>
      </w:r>
    </w:p>
    <w:p>
      <w:r>
        <w:t>F-4114/2023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