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F-4112/2024 vom 17. März 2025</w:t>
      </w:r>
    </w:p>
    <w:p>
      <w:r>
        <w:t>Bundesverwaltungsgericht, 2025-03-17, DE</w:t>
      </w:r>
    </w:p>
    <w:p>
      <w:r>
        <w:rPr>
          <w:b/>
        </w:rPr>
        <w:t xml:space="preserve">Quelle: </w:t>
      </w:r>
      <w:r>
        <w:t>https://mcp.opencaselaw.ch/entscheid/bvger_F-4112_2024</w:t>
      </w:r>
    </w:p>
    <w:p>
      <w:r>
        <w:t>FR: TAF F-4112/2024 du 17 mars 2025</w:t>
      </w:r>
    </w:p>
    <w:p>
      <w:r>
        <w:t>IT: TAF F-4112/2024 del 17 marzo 2025</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(Art. 112 Abs. 1 AIG [SR 142.20] i.V.m. Art. 31 ff. VGG und Art. 5 VwVG). Das Rechtsmittel-</w:t>
      </w:r>
    </w:p>
    <w:p>
      <w:r>
        <w:t>F-4112/2024 Seite 3 verfahren richtet sich nach dem VwVG, soweit das VGG nichts anderes bestimmt (Art. 37 VGG).</w:t>
      </w:r>
    </w:p>
    <w:p>
      <w:r>
        <w:rPr>
          <w:b/>
        </w:rPr>
        <w:t>E. 1.2</w:t>
      </w:r>
    </w:p>
    <w:p>
      <w:r>
        <w:t>Die Beschwerdeführerin hat am vorangegangenen Einspracheverfah- ren teilgenommen und ist als Gastgeberin durch den angefochtenen Ent- scheid besonders berührt. Obwohl der ursprünglich angestrebte Besuchs- zeitraum inzwischen abgelaufen ist, kann auf ein fortbestehendes Rechts- schutzinteresse geschlossen werden. Die Beschwerdeführerin ist daher zur Erhebung des Rechtsmittels legitimiert (Art. 48 Abs. 1 VwVG). Auf die im Übrigen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Einen Anspruch auf Einreise vermittelt auch das Schengen-Recht nicht (vgl. BVGE 2014/1 E. 4.1.5).</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w:t>
      </w:r>
    </w:p>
    <w:p>
      <w:r>
        <w:t>F-4112/2024 Seite 4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zur Einreisever- weigerung ausgeschrieben sein und keine Gefahr für die öffentliche Ord- nung, die innere Sicherheit, die öffentliche Gesundheit oder die internatio- 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 schaftskodex für das Überschreiten der Grenzen durch Personen [Schen- gener Grenzkodex, SGK, ABl. L 77/1 vom 23.03.2016]; Art. 14 Abs. 1 und Art. 21 Abs. 1 der Verordnung [EG] Nr. 810/2009 des Europäischen Parla- ments und des Rates vom 13. Juli 2009 über einen Visakodex der Gemein- schaft [Visakodex, VK, ABl. L 243 vom 15.9.2009]).</w:t>
      </w:r>
    </w:p>
    <w:p>
      <w:r>
        <w:rPr>
          <w:b/>
        </w:rPr>
        <w:t>E. 3.3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3.4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w:t>
      </w:r>
    </w:p>
    <w:p>
      <w:r>
        <w:t>F-4112/2024 Seite 5 nalen Interesses oder aufgrund internationaler Verpflichtungen für erforder- lich hält (vgl. Art. 3 Abs. 4 und 5 VEV; Art. 25 Abs. 1 Bst. a VK; Art. 6 Abs. 5 Bst. c SGK).</w:t>
      </w:r>
    </w:p>
    <w:p>
      <w:r>
        <w:rPr>
          <w:b/>
        </w:rPr>
        <w:t>E. 4</w:t>
      </w:r>
    </w:p>
    <w:p>
      <w:r>
        <w:t>Strittig ist, ob die nigerianischen Gesuchstellenden hinreichend Gewähr für ihre fristgerechte Wiederausreise aus dem Schengen-Raum bieten. Ausser Frage steht dabei die gegebene Visumspflicht (Art. 8 Abs. 1 VEV i.V.m. An- hang I der Verordnung Nr. 2018/1806).</w:t>
      </w:r>
    </w:p>
    <w:p>
      <w:r>
        <w:rPr>
          <w:b/>
        </w:rPr>
        <w:t>E. 4.1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 willigung im Einklang steht (BVGE 2014/1 E. 6.1).</w:t>
      </w:r>
    </w:p>
    <w:p>
      <w:r>
        <w:rPr>
          <w:b/>
        </w:rPr>
        <w:t>E. 4.2</w:t>
      </w:r>
    </w:p>
    <w:p>
      <w:r>
        <w:t>Mit rund 206 Millionen Einwohnern ist Nigeria das bevölkerungs- reichste Land in Afrika. Obwohl es aufgrund seiner reichen Ölreserven als die stärkste Wirtschaft des Kontinents gilt, leben mehr als zwei Drittel der Bevölkerung in extremer Armut. Die Arbeitslosigkeit ist hoch und es kommt immer wieder zu bewaffneten Konflikten und terroristischen Anschlägen (vgl. dazu das Urteil des BVGer F-4040/2022 vom 8. Januar 2024 E. 7.1 m.w.H; F-461/2024 vom 20. November 2024 E. 4.2). Vor diesem Hinter- grund ist nicht zu beanstanden, dass die Vorinstanz das Risiko einer nicht fristgerechten Wiederausreise von Besucherinnen und Besuchern aus Ni- geria allgemein als hoch einschätzt.</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w:t>
      </w:r>
    </w:p>
    <w:p>
      <w:r>
        <w:t>F-4112/2024 Seite 6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rPr>
          <w:b/>
        </w:rPr>
        <w:t>E. 4.4</w:t>
      </w:r>
    </w:p>
    <w:p>
      <w:r>
        <w:t>Der 56-jährige Gesuchsteller 1 und die 44-jährige Gesuchstellerin 2 wohnen zusammen in Lagos, der mit 16 Millionen Einwohnern grössten Stadt in Nigeria. Aus einer Heiratsurkunde in den Akten ist ersichtlich, dass die Gesuchstellenden seit dem Jahr 2021 verheiratet sind. Zudem geben sie an, sechs Kinder im Alter zwischen 7 und 22 Jahren zu haben, wobei die älteren Kinder während der Abwesenheit der Gesuchsteller auf die jün- geren Kinder aufpassen würden. Belege für das Vorhandensein der Kinder finden sich in den Akten allerdings nicht. Inwiefern die Gesuchstellenden über familiäre Verpflichtungen in Nigeria verfügen, ist somit unklar, da sie ihre Familienverhältnisse – abgesehen von ihrer Ehe – weder urkundlich belegen noch substantiiert darlegen. Zudem ist darauf hinzuweisen, dass das Zurücklassen minderjähriger Kinder für sich allein keine Garantie für eine anstandslose und fristgerechte Wiederausreise nach einem Besuchs- aufenthalt bildet. Die Erfahrung zeigt, dass es in der Regel vielmehr die individuell vorherrschenden wirtschaftlichen und sozialen Verhältnisse sind, die letztlich über Rückkehr oder Verbleib im Ausland entscheiden. Die vorübergehende Trennung einer Familie wird je nach Interessenlage in Kauf genommen. Dies umso eher, wenn die Betreuung der Kinder durch nahe Angehörige (hier die älteren, teilweise volljährigen Kinder) sicherge- stellt werden kann und die Möglichkeit besteht, minderjährige Kinder später nachzuziehen (vgl. Urteile des BVGer F-4701/2024 vom 17. April 2024 E. 5.4.2; F-350/2023 vom 1. Dezember 2023 E. 8.2.1; F-2363/2022 vom 22. August 2022 E. 6.5; je m.w.H.).</w:t>
      </w:r>
    </w:p>
    <w:p>
      <w:r>
        <w:rPr>
          <w:b/>
        </w:rPr>
        <w:t>E. 4.5</w:t>
      </w:r>
    </w:p>
    <w:p>
      <w:r>
        <w:t>Der Gesuchsteller 1 arbeitet einem Schreiben seines Arbeitgebers zu- folge seit dem Jahr 2003 (…) in Lagos. Sein monatliches Einkommen be- trägt umgerechnet knapp Fr. 33.–. Die Gesuchstellerin 2 arbeitet eigenen Aussagen zufolge in einem kleinen Shop und kümmert sich um den Haus- halt. Ihr Einkommen ist nicht bekannt, dürfte aber aufgrund ihrer Aussage, wonach der Gesuchsteller 1 das Haupteinkommen generiere, wesentlich unter monatlich Fr. 33.– liegen. Das auf den Gesuchsteller 1 lautende Bankkonto, auf welches nachweislich sein Lohn bezahlt wird, wies am 29. Februar 2024 einen Saldo von umgerechnet Fr. 0.32 aus. Das auf die Gesuchstellerin 2 lautende Konto wies am 25. März 2024 einen Saldo von umgerechnet knapp Fr. 23.– aus.</w:t>
      </w:r>
    </w:p>
    <w:p>
      <w:r>
        <w:t>F-4112/2024 Seite 7</w:t>
      </w:r>
    </w:p>
    <w:p>
      <w:r>
        <w:rPr>
          <w:b/>
        </w:rPr>
        <w:t>E. 4.6</w:t>
      </w:r>
    </w:p>
    <w:p>
      <w:r>
        <w:t>Weiter macht die Beschwerdeführerin geltend, ihre ebenfalls in Nigeria lebende, 88-jährige Mutter werde durch die Gesuchstellenden regelmässig betreut. Im Gegenzug würden diese von ihr – der Beschwerdeführerin – finanziell unterstützt. Aufgrund dieser gesellschaftlichen Verpflichtung sei es den Gesuchstellenden nicht möglich, im Schengen-Raum zu verblei- ben, da die finanzielle Unterstützung durch die Beschwerdeführerin an- sonsten wegfallen würde. In den Akten fehlt es an Belegen dafür, dass sich die Mutter der Beschwer- deführerin in Nigeria aufhält oder Kontakt in irgendeiner Form zu den Ge- suchstellenden hat. Auch ist weder dargetan noch ersichtlich, in welcher Form oder Intensität die Gesuchstellenden die Mutter der Beschwerdefüh- rerin konkret unterstützen oder wie beziehungsweise in welcher Höhe sie dafür bezahlt werden. Auf den eingereichten Kontoauszügen sind keine Zahlungen für die Betreuung der Mutter ersichtlich. Somit bleiben die Be- hauptungen der Beschwerdeführerin betreffend die Betreuung ihrer Mutter in Nigeria gänzlich unbelegt.</w:t>
      </w:r>
    </w:p>
    <w:p>
      <w:r>
        <w:rPr>
          <w:b/>
        </w:rPr>
        <w:t>E. 4.7</w:t>
      </w:r>
    </w:p>
    <w:p>
      <w:r>
        <w:t>Gesamthaft ist nicht ersichtlich beziehungsweise weder substantiiert geltend gemacht noch belegt, dass den Gesuchstellenden über das übli- che Mass hinausgehende gesellschaftliche oder familiäre Verpflichtungen obliegen würden. Zu berücksichtigen ist ferner, dass sie in der Schweiz durch ihre hier lebende befreundete Gastgeberin ein vorbestehendes sozi- ales Beziehungsnetz besitzen, welches das Emigrationsrisiko eher erhöht. Mit Blick auf das für Schweizer Verhältnisse sehr geringe Einkommen und Vermögen ist darüber hinaus auch nicht von stabilen wirtschaftlichen Ver- hältnissen auszugehen, welche die Gesuchstellenden von einer Emigra- tion abzuhalten vermöchten.</w:t>
      </w:r>
    </w:p>
    <w:p>
      <w:r>
        <w:rPr>
          <w:b/>
        </w:rPr>
        <w:t>E. 4.8</w:t>
      </w:r>
    </w:p>
    <w:p>
      <w:r>
        <w:t>Die Vorinstanz ist zu Recht davon ausgegangen, die Wiederausreise der Gesuchstellenden sei nicht hinreichend gesichert. Die Zusicherung ei- ner fristgerechten Ausreise durch die Gastgeberin ändert daran nichts, denn Gastgeber und Garanten können zwar mit rechtlich verbindlicher Wir- kung für gewisse finanzielle Risiken im Zusammenhang mit dem Besuchs- aufenthalt, nicht aber für ein bestimmtes Verhalten der eingeladenen Per- son einstehen (vgl. BVGE 2014/1 E. 6.3.7 und BVGE 2009/27 E. 9).</w:t>
      </w:r>
    </w:p>
    <w:p>
      <w:r>
        <w:rPr>
          <w:b/>
        </w:rPr>
        <w:t>E. 5</w:t>
      </w:r>
    </w:p>
    <w:p>
      <w:r>
        <w:t>Schliesslich sind Gründe humanitärer oder anderer Art, welche die Er- teilung eines Visums mit räumlich beschränkter Gültigkeit rechtfertigen könnten, von der Beschwerdeführerin nicht geltend gemacht und auch nicht ersichtlich.</w:t>
      </w:r>
    </w:p>
    <w:p>
      <w:r>
        <w:t>F-4112/2024 Seite 8</w:t>
      </w:r>
    </w:p>
    <w:p>
      <w:r>
        <w:rPr>
          <w:b/>
        </w:rPr>
        <w:t>E. 6</w:t>
      </w:r>
    </w:p>
    <w:p>
      <w:r>
        <w:t>Die Vorinstanz hat das Visum für den Schengen-Raum zu Recht verwei- gert. Die angefochtene Verfügung erweist sich als rechtmässig (Art. 49 VwVG). Die Beschwerde ist abzuweisen.</w:t>
      </w:r>
    </w:p>
    <w:p>
      <w:r>
        <w:rPr>
          <w:b/>
        </w:rPr>
        <w:t>E. 7</w:t>
      </w:r>
    </w:p>
    <w:p>
      <w:r>
        <w:t>Bei diesem Ausgang des Verfahrens sind die Kosten der unterliegenden Beschwerdeführerin aufzuerlegen und auf Fr. 900.– festzusetzen (vgl. Art. 63 Abs. 1 VwVG i.V.m. Art. 1 ff. des Reglements vom 21. Februar 2008 über die Kosten und Entschädigungen vor dem Bundesverwaltungsgericht [VGKE, SR 173.320.2]). Sie sind durch den am 19. Juli 2024 in gleicher Höhe geleisteten Kostenvorschuss gedeckt.</w:t>
      </w:r>
    </w:p>
    <w:p>
      <w:r>
        <w:rPr>
          <w:b/>
        </w:rPr>
        <w:t>E. 8</w:t>
      </w:r>
    </w:p>
    <w:p>
      <w:r>
        <w:t>Das Bundesverwaltungsgericht entscheidet in der vorliegenden Angele- genheit endgültig (Art. 83 Bst. c Ziff. 1 BGG).</w:t>
      </w:r>
    </w:p>
    <w:p>
      <w:r>
        <w:t>(Dispositiv: nachfolgende Seite)</w:t>
      </w:r>
    </w:p>
    <w:p>
      <w:r>
        <w:t>F-4112/2024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