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F-4111/2025 vom 5. November 2025</w:t>
      </w:r>
    </w:p>
    <w:p>
      <w:r>
        <w:t>Bundesverwaltungsgericht, 2025-11-05, DE</w:t>
      </w:r>
    </w:p>
    <w:p>
      <w:r>
        <w:rPr>
          <w:b/>
        </w:rPr>
        <w:t xml:space="preserve">Quelle: </w:t>
      </w:r>
      <w:r>
        <w:t>https://mcp.opencaselaw.ch/entscheid/bvger_F-4111_2025</w:t>
      </w:r>
    </w:p>
    <w:p>
      <w:r>
        <w:t>FR: TAF F-4111/2025 du 5 novembre 2025</w:t>
      </w:r>
    </w:p>
    <w:p>
      <w:r>
        <w:t>IT: TAF F-4111/2025 del 5 novembre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be- sonders berührt. Obwohl der ursprünglich angestrebte Besuchszeitraum inzwischen abgelaufen ist, kann auf ein fortbestehendes Rechtsschutzin- teresse geschlossen werden. Die Beschwerdeführenden sind daher zur Er- hebung des Rechtsmittels legitimiert (Art. 48 Abs. 1 VwVG). Auf die im</w:t>
      </w:r>
    </w:p>
    <w:p>
      <w:r>
        <w:t>F-4111/2025 Seite 4 Übrigen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zum Entscheidzeit- punkt (BGE 139 II 534 E. 5.4.1; BVGE 2020 VII/4 E.2.2 m.H.).</w:t>
      </w:r>
    </w:p>
    <w:p>
      <w:r>
        <w:rPr>
          <w:b/>
        </w:rPr>
        <w:t>E. 3</w:t>
      </w:r>
    </w:p>
    <w:p>
      <w:r>
        <w:t>Zunächst erheben die Beschwerdeführenden verschiedene formelle Rü- gen. Die Vorinstanz habe das rechtliche Gehör im Sinne der Berücksichti- gungspflicht und der Begründungspflicht (Art. 29 VwVG und Art. 35 VwVG) sowie den Untersuchungsgrundsatz (Art. 12 VwVG) verletzt. Die Begrün- dung der vorinstanzlichen Verfügung verstosse überdies gegen das Diskri- minierungsverbot (Art. 8 BV, Art. 14 EMRK). Ausserdem bestünden ver- schiedene Hinweise auf eine willkürliche Rechtsanwendung (Art. 9 Abs. 1 BV). So habe die Vorinstanz insbesondere die persönliche Situation der Beschwerdeführerin nicht umfassend überprüft und sei fälschlicherweise von einer nicht gesicherten Wiederausreise ausgegangen.</w:t>
      </w:r>
    </w:p>
    <w:p>
      <w:r>
        <w:rPr>
          <w:b/>
        </w:rPr>
        <w:t>E. 3.1</w:t>
      </w:r>
    </w:p>
    <w:p>
      <w:r>
        <w:t>Im Verwaltungsverfahren gilt der Untersuchungsgrundsatz (Art. 12 ff. VwVG). Die Behörden sorgen – unter Vorbehalt der Mitwirkungspflichten (Art. 13 Abs. 1 VwVG) der Parteien – für die richtige und vollständige Ab- klärung des rechtserheblichen Sachverhalts (BGE 140 I 285 E. 6.3.1 m.w.H.; vgl. Urteil des BVGer F-5393/2023 vom 16. Januar 2024 E. 3 zur Mitwirkungspflicht im Ausländerrecht gemäss Art. 90 AIG). Die Sachver- haltsfeststellung ist mit Blick auf Art. 49 Bst. b VwVG unrichtig, wenn der Verfügung ein falscher oder aktenwidriger Sachverhalt zugrunde gelegt wird, sei es, weil die Rechtserheblichkeit einer Tatsache zu Unrecht ver- neint wird oder Beweise falsch gewürdigt worden sind (BVGE 2014/2 E. 5.1; 2008/43 E. 7.5.6; ferner Urteil des BGer 2C_802/2020 vom 12. März 2021 E. 1.2.1; Urteil des BVGer F-896/2021 vom 2. August 2023 E. 3.3.2; je m.H.).</w:t>
      </w:r>
    </w:p>
    <w:p>
      <w:r>
        <w:t>F-4111/2025 Seite 5</w:t>
      </w:r>
    </w:p>
    <w:p>
      <w:r>
        <w:rPr>
          <w:b/>
        </w:rPr>
        <w:t>E. 3.2</w:t>
      </w:r>
    </w:p>
    <w:p>
      <w:r>
        <w:t>Nach Auffassung der Beschwerdeführenden habe sich die Vorinstanz im Wesentlichen auf spekulative Annahmen und pauschalisierte Risikobe- wertungen gestützt. Der individuell dokumentierte Kontext sei nur ober- flächlich erwähnt, nicht aber sorgfältig gewürdigt worden. Zudem habe die Vorinstanz zu keinem Zeitpunkt Kontakt mit dem Beschwerdeführer aufge- nommen. Diese Ausführungen vermögen allerdings nicht zu klären, inwieweit die Vorinstanz von einem falschen beziehungsweise unvollständigen Sachver- halt ausgegangen wäre. Zudem ist nicht klar, welche konkreten Umstände nicht überprüft worden wären, die zu einer abweichenden Beurteilung ge- führt hätten. In seinem Entscheid hat das Staatssekretariat für Migration (SEM) nicht nur eine generelle Einschätzung vorgenommen, sondern auch die individuellen Umstände der Beschwerdeführerin berücksichtigt. Auf- grund der aktenkundigen Informationen hat es festgestellt, dass die damals (…)-jährige Gesuchstellerin die Freundin des Beschwerdeführers ist, Mut- ter dreier minderjähriger Kinder und sich 88 Tage in der Schweiz aufhalten würde (siehe SEM-Akten, S. 204). Diese Umstände wurden nicht bestrit- ten. Nach Prüfung der eingereichten Akten hat die Vorinstanz keine beson- deren Betreuungspflichten oder Abhängigkeiten festgestellt, die einen Rückschluss auf eine sichere Rückkehr ins Heimatland gebieten würden (SEM-Akten, S. 204). Auf Rechtsmittelebene haben die Beschwerdefüh- renden sodann keine neuen Belege eingereicht, die geeignet wären, die Existenz solcher Verpflichtungen rechtsgenüglich zu beweisen (siehe E. 6.1). Sie haben somit ihre Mitwirkungspflicht gemäss Art. 13 VwVG ver- letzt und müssen die Folgen der Beweislosigkeit tragen (vgl. statt vieler: Urteil des BVGer F-4580/2023 vom 8. April 2024 E. 3.2). Folglich ist eine Verletzung des Untersuchungsgrundsatzes (Art. 12 VwVG) zu verneinen. Im Übrigen ist darauf hinzuweisen, dass sich die Vorinstanz auf Basis der eingereichten und von ihr erstellten Akten ein für die Entscheidungsfindung ausreichendes Gesamtbild über das mit der Beschwerdeführerin verbun- dene Emigrationsrisiko machen konnte. Aufgrund der fehlenden Mitwir- kung der Parteien bei der Sachverhaltsabklärung (siehe unten E. 6 ff.) konnte sie zudem in antizipierter Beweiswürdigung davon ausgehen, dass weitere Abklärungen zu keinem Erkenntnisgewinn geführt hätten (vgl. Ur- teil des BVGer F-3681/2023 vom 14. Juli 2025 E. 4.1.2). Eine direkte Kon- taktaufnahme mit dem Beschwerdeführer erübrigte sich alsdann.</w:t>
      </w:r>
    </w:p>
    <w:p>
      <w:r>
        <w:rPr>
          <w:b/>
        </w:rPr>
        <w:t>E. 3.3</w:t>
      </w:r>
    </w:p>
    <w:p>
      <w:r>
        <w:t>Hinsichtlich der gerügten Verletzung der Begründungspflicht besagt Art. 35 Abs. 1 VwVG, dass schriftliche Verfügungen, auch wenn die</w:t>
      </w:r>
    </w:p>
    <w:p>
      <w:r>
        <w:t>F-4111/2025 Seite 6 Behörde sie in Briefform eröffnet, als solche zu bezeichnen, zu begründen und mit einer Rechtsmittelbelehrung zu versehen sind. Die Begründung muss so abgefasst sein, dass der Betroffene den Entscheid in voller Kennt- nis der Sachlage an die höhere Instanz weiterziehen kann und dass die Rechtsmittelinstanz ihre Kontrolle ordnungsgemäss ausüben kann, wenn sie angerufen wird (BGE 139 V 496 E. 5.1; Urteil des BVGer F-4741/2023 vom 29. Mai 2024 E. 4.2). Entgegen den Behauptungen der Beschwerd- führenden äusserte sich die Vorinstanz zu den entscheidwesentlichen Punkten (siehe E. 3.2) und stützte sich auf die Angaben und Beweismittel, die den Akten beigelegt wurden. Da die Parteien keine genauen Angaben zu besonderen, über das übliche Mass hinausgehenden familiären oder sozialen Verpflichtungen im Heimatland machen konnten, durfte die Vor- instanz auf deren Fehlen schliessen, weshalb mangels konkreter Angaben auch keine detaillierte Begründung in diesem Zusammenhang möglich er- schien. Folglich besteht keine Verletzung der Begründungspflicht. Darüber hinaus handelt es sich bei den vorgebrachten Rügen um Tatsachen, die für die sachliche Behandlung der Beschwerde von Bedeutung sind, weshalb in den nachfolgenden Erwägungen näher darauf eingegangen wird (siehe unten, E. 6.1 ff.).</w:t>
      </w:r>
    </w:p>
    <w:p>
      <w:r>
        <w:rPr>
          <w:b/>
        </w:rPr>
        <w:t>E. 3.4</w:t>
      </w:r>
    </w:p>
    <w:p>
      <w:r>
        <w:t>Hinsichtlich der geltend gemachten Verletzung des Diskriminierungs- verbots (Art. 8 BV) in Zusammenhang mit einer behaupteten Gehörsverlet- zung erweist es sich als nicht ausreichend geklärt, aus welchem Grund genau die Einschätzung eines hohen Migrationsdrucks aus Thailand ge- gen diese Bestimmung verstossen würde. Wie bereits vorne dargelegt (E. 3.2), hat die Vorinstanz ihre Beurteilung sowohl auf eine allgemeine Einschätzung der Emigrationslage in Thailand als auch auf eine Einzelfall- prüfung der konkreten Umstände basiert. Eine Verletzung des Diskriminie- rungsverbots ist daher zu verneinen. Ebenfalls unklar ist, welche der vor- gelegten Beweismittel genau von der Vorinstanz nicht berücksichtigt wor- den seien und inwieweit sie für die angefochtene Verfügung von Relevanz gewesen wären. Eine Verletzung des rechtlichen Gehörs im Sinne einer Verletzung der Berücksichtigungspflicht (Art. 29 i. V. m. 32 VwVG) ergibt sich daher nicht. Schliesslich kann den Beschwerdeführenden nicht gefolgt werden, wenn sie sinngemäss eine willkürliche Rechtsanwendung rügen. Die von ihnen in ihrem Nachtrag vom 30. Juni 2025 aufgeführten Umstände sind weder rechtsgenügend nachgewiesen, noch begründen sie eine will- kürliche Behandlung der Beschwerdeführerin.</w:t>
      </w:r>
    </w:p>
    <w:p>
      <w:r>
        <w:t>F-4111/2025 Seite 7</w:t>
      </w:r>
    </w:p>
    <w:p>
      <w:r>
        <w:rPr>
          <w:b/>
        </w:rPr>
        <w:t>E. 3.5</w:t>
      </w:r>
    </w:p>
    <w:p>
      <w:r>
        <w:t>Die vorgängigen Rügen erweisen sich als unbegründet. Es besteht keine Veranlassung, die Sache zur Sachverhaltsfeststellung und Neubeur- teilung an die Vorinstanz zurückzuweisen.</w:t>
      </w:r>
    </w:p>
    <w:p>
      <w:r>
        <w:rPr>
          <w:b/>
        </w:rPr>
        <w:t>E. 4.1</w:t>
      </w:r>
    </w:p>
    <w:p>
      <w:r>
        <w:t>Der angefochtenen Verfügung liegt das Gesuch einer thailändischen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insoweit zur Anwendung, als die Schengen-Assoziierungsabkommen keine abweichenden Bestimmungen enthalten (Art. 2 Abs. 4 AIG).</w:t>
      </w:r>
    </w:p>
    <w:p>
      <w:r>
        <w:rPr>
          <w:b/>
        </w:rPr>
        <w:t>E. 4.2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w:t>
      </w:r>
    </w:p>
    <w:p>
      <w:r>
        <w:t>F-4111/2025 Seite 8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t>F-4111/2025 Seite 9</w:t>
      </w:r>
    </w:p>
    <w:p>
      <w:r>
        <w:rPr>
          <w:b/>
        </w:rPr>
        <w:t>E. 5</w:t>
      </w:r>
    </w:p>
    <w:p>
      <w:r>
        <w:t>Strittig und zu prüfen ist, ob die Beschwerdeführerin hinreichend Gewähr für eine fristgerechte Wiederausreise aus dem Schengen-Raum (Art. 32 Abs. 1 Bst. b VK) bietet.</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Angesichts der allgemeinen Lage in Thailand, insbesondere in sozio- ökonomischer Hinsicht, und der zahlreichen Vorteile, die die Schweiz und andere Mitgliedstaaten des Schengen-Raums bieten, kann das Gericht die von der Vorinstanz bezüglich einer möglichen Verlängerung des Aufent- halts der Beschwerdeführerin im Schweizer Hoheitsgebiet (bzw. im Schen- gen-Raum) über die Gültigkeitsdauer des beantragten Visums hinaus ge- hegten Befürchtungen nicht von vornherein ausschliessen (vgl. Urteil des BVGer F-246/2025 vom 12. Juni 2025 E. 6.1). Hinsichtlich der wirtschaftlichen Lage wird Thailand mit einem Human De- velopment Index (HDI) von 0,798 nicht mehr zu den „hoch entwickelten”, sondern zu den „entwickelten” Ländern gezählt. Damit liegt Thailand auf Platz 76 von 193 bewerteten Ländern, während die Schweiz den zweiten Platz belegt. Der Humankapitalindex, der die sozioökonomischen Chancen der Bevölkerung misst, liegt mit einem Wert von 0,61 über dem südostasi- atischen Durchschnitt. Dieser Wert ist zwar im regionalen Vergleich relativ hoch, liegt jedoch unter dem Wert der Schweiz (vgl. Weltbank, «Thailand – Human Capital Index 2020», 10.2020, abrufbar unter: https://data.worldbank.org/indicator/HD.HCI.OVRL?locations=TH [zuletzt besucht am 3. Oktober 2025]; vgl. Urteil des BVGer F-4403/2023 vom 21. März 2024 E. 6.2). Die thailändische Wirtschaft verzeichnete in den letzten Jahrzehnten ein starkes Wachstum, bevor sie in den letzten zehn Jahren insbesondere aufgrund der Pandemie eine Verlangsamung erlebte. Darüber hinaus blieben die Fortschritte bei der Armutsbekämpfung be- grenzt, da Thailand die ausgeprägtesten Einkommensunterschiede in</w:t>
      </w:r>
    </w:p>
    <w:p>
      <w:r>
        <w:t>F-4111/2025 Seite 10 Ostasien und im pazifischen Raum aufweist (siehe Weltbank, «The World Bank in Thailand – Overview», 10.2024, abrufbar unter: https://www.world- bank.org/en/country/thailand/overview [abgerufen am 13.10.2025]; vgl. auch Urteil des BVGer F-4403/2023 vom 21. März 2024 E. 6.2). In Anbetracht dieser Umstände ist nicht zu beanstanden, dass die Vor- instanz das Risiko einer nicht fristgerechten Wiederausreise von Besu- chern aus Thailand grundsätzlich als hoch einschätzt.</w:t>
      </w:r>
    </w:p>
    <w:p>
      <w:r>
        <w:rPr>
          <w:b/>
        </w:rPr>
        <w:t>E. 5.3</w:t>
      </w:r>
    </w:p>
    <w:p>
      <w:r>
        <w:t>Bei der Risikoanalyse sind allerdings nicht nur solch allgemeine Um- stände und Erfahrungen, sondern auch sämtliche Gesichtspunkte des kon- kreten Einzelfalls zu berücksichtigen. Obliegt einer gesuchstellenden Per- son im Heimatland beispielsweise eine besondere berufliche, gesellschaft- liche oder familiäre Verantwortung, kann dieser Umstand die Prognose für eine anstandslose Wiederausreise begünstigen. Bei Personen, die in ihrer Heimat keine besonderen Verpflichtungen haben, muss das Risiko eines ausländerrechtlich nicht regelkonformen Verhaltens nach einer bewilligten Einreise demgegenüber als hoch eingeschätzt werden.</w:t>
      </w:r>
    </w:p>
    <w:p>
      <w:r>
        <w:rPr>
          <w:b/>
        </w:rPr>
        <w:t>E. 6.1</w:t>
      </w:r>
    </w:p>
    <w:p>
      <w:r>
        <w:t>Bei der Gesuchstellerin handelt es sich um eine nun (…)-jährige thai- ländische Frau (SEM-Akten, S. 40). Gemäss ihrer eigenen Aussagen im Gesuchformular ist sie beruflich selbstständig («self-employed»; siehe SEM-Akten, S. 44), ledig und stammt aus der Provinz (…) (SEM-Akten, S. 46). Zwischen der Gesuchstellerin und dem Beschwerdeführer besteht eine enge Beziehung (vgl. SEM-Akten, S. 90, 91), die vorwiegend mittels elektronischer Kommunikationsmedien gelebt wird (vgl. unter anderem SEM-Akten, S. 118-123, 133-135). Aus den Akten ergibt sich jedoch auch, dass sich die Beschwerdeführenden im Ausland persönlich getroffen ha- ben (vgl. act. 1, Beilagen). Die Gesuchstellerin ist weiter Mutter dreier min- derjähriger Kinder (vgl. SEM-Akten, S. 50). Weder aus den vorinstanzli- chen Akten noch aus den auf Beschwerdeebene eingereichten Akten las- sen sich etwelche Elemente ableiten, die eindeutige Rückschlüsse auf die finanzielle Lage der Beschwerdeführerin ermöglichen würden. Auch die Umstände bezüglich ihrer Arbeitstätigkeit sind nicht näher konkretisiert. Unklar bleibt insbesondere, ob sie einen regelmässigen Lohn bezieht, wie hoch dieser wäre und ob sie damit ihre täglichen Bedürfnisse decken könnte. Folglich sind weder die finanziellen noch die wirtschaftlichen Um- stände der Beschwerdeführerin nachgewiesen, weshalb die Beschwerde- führenden die Folgen der Beweislosigkeit zu tragen haben (siehe oben E. 3.2). Im Rahmen der Inlandabklärungen hat der Beschwerdeführer</w:t>
      </w:r>
    </w:p>
    <w:p>
      <w:r>
        <w:t>F-4111/2025 Seite 11 lediglich angegeben, dass die Beschwerdeführerin in einem landwirtschaft- lichen Familienbetrieb mitarbeiten würde (vgl. SEM-Akten, S. 177). Dies widerspricht jedoch den im Gesuchformular getroffenen Aussagen, da die Beschwerdeführerin dort angab, selbstständig und nicht bei einem Betrieb angestellt zu sein (SEM-Akten, S. 44). Darüber hinaus zeigt die Tatsache, dass die Gesuchstellerin ein Besuchervisum für die Dauer von 88 Tagen beantragte, unmittelbar, dass in ihrer Heimat keine existenziellen Abhän- gigkeiten bestehen, die ihre Rückkehr zwingend erforderlich machen (vgl. Urteil des BVGer F-6053/2023 vom 25. Oktober 2024 E. 2.3). Aus dieser Einschätzung ergibt sich, dass verschiedene Anzeichen vorlie- gen, die gegen eine gesicherte Widerausreise der Beschwerdeführerin sprechen, wie die Vorinstanz diskriminierungsfrei festgestellt hat. Das Emigrationsrisiko ist umso höher einzustufen, als den Akten nicht zu ent- nehmen ist, dass die Beschwerdeführerin bereits ähnliche Reisen ins Aus- land unternommen hätte, von denen sie jeweils fristgerecht in ihr Heimat- land zurückgekehrt wäre (siehe Urteil des BVGer F-2589/2025 vom 23. September 2025 E. 5.6). Darüber hinaus verfügt sie im Zielland bereits über ein gewisses soziales Netzwerk, das aus dem Beschwerdeführer und seinen Eltern besteht. Dies kann die Entscheidung hierher einzuwandern, erheblich erleichtern oder stärken (vgl. statt vieler: Urteil des BVGer F- 360/2025 vom 20. März 2025 E. 4.4).</w:t>
      </w:r>
    </w:p>
    <w:p>
      <w:r>
        <w:rPr>
          <w:b/>
        </w:rPr>
        <w:t>E. 6.2</w:t>
      </w:r>
    </w:p>
    <w:p>
      <w:r>
        <w:t>Ergänzend ist darauf hinzuweisen, dass selbst wenn der Beschwerde- führer eine Verpflichtungserklärung (vgl. SEM-Akten, S. 200) unterzeichnet hat, in der er seine Bereitschaft erklärte, eine Garantieverpflichtung bis zum maximalen Betrag von Euro 30'000.– zu übernehmen sowie die anstands- und fristgerechte Ausreise der Beschwerdeführerin zu garantieren (vgl. SEM-Akten, S. 176), das Migrationsrisiko nicht minimiert wurde. Solche Garantieerklärungen ermöglichen es der sich verpflichtenden Person nicht, für ein bestimmtes Tun oder Unterlassen der Beschwerdeführerin einzu- stehen, da keine rechtliche und faktische Durchsetzbarkeit besteht. Zwar können Gastgeber und Garanten mit rechtlich verbindlicher Wirkung für gewisse finanzielle Risiken im Zusammenhang mit einem Besuchsaufent- halt, nicht aber für ein bestimmtes Verhalten der eingeladenen Person ein- stehen (vgl. BVGE 2014/1 E. 6.3.7 und BVGE 2009/27 E. 9).</w:t>
      </w:r>
    </w:p>
    <w:p>
      <w:r>
        <w:rPr>
          <w:b/>
        </w:rPr>
        <w:t>E. 6.3</w:t>
      </w:r>
    </w:p>
    <w:p>
      <w:r>
        <w:t>Darüber hinaus ist festzuhalten, dass keine ausreichenden Gesichts- punkte dafür vorliegen, wonach eine nahestehende, echte und tatsächlich gelebte Beziehung zwischen den Beschwerdeführenden im Sinne einer eheähnlichen Beziehung (vgl. BGE 135 I 143 E. 3.1; BGE 144 I 266 E. 2.5</w:t>
      </w:r>
    </w:p>
    <w:p>
      <w:r>
        <w:t>F-4111/2025 Seite 12 m. H.) vorliegt. Die Beziehung wurde hauptsächlich durch elektronische Medien (WhatsApp, Telefonanrufe) und einige Aufenthalte im Ausland ge- pflegt. Folglich ist der Schutzbereich von Art. 8 Abs. 1 EMRK nicht eröffnet.</w:t>
      </w:r>
    </w:p>
    <w:p>
      <w:r>
        <w:rPr>
          <w:b/>
        </w:rPr>
        <w:t>E. 7</w:t>
      </w:r>
    </w:p>
    <w:p>
      <w:r>
        <w:t>Im Ergebnis hat die Vorinstanz das nachgesuchte Visum für den Schen- gen-Raum zwecks Besuchsaufenthalts bei dem in der Schweiz lebenden Beschwerdeführer zu Recht verweigert. Gründe humanitärer oder anderer Art, welche die Erteilung eines Visums mit räumlich beschränkter Gültigkeit zu rechtfertigen vermöchten (siehe E. 4.5 hiervor), wurden weder geltend gemacht noch sind solche ersichtlich. Die angefochtene Verfügung erweist sich als rechtmässig (Art. 49 VwVG). Die Beschwerde ist abzuweisen.</w:t>
      </w:r>
    </w:p>
    <w:p>
      <w:r>
        <w:rPr>
          <w:b/>
        </w:rPr>
        <w:t>E. 8</w:t>
      </w:r>
    </w:p>
    <w:p>
      <w:r>
        <w:t>Aufgrund der vorstehenden Ausführungen erübrigt sich – in antizipierter Beweiswürdigung – der Antrag der Beschwerdeführenden, das SEM zu verpflichten, Daten im Zusammenhang mit der Risikoeinschätzung zu Thai- land sowie die in der Eingabe vom 19. Juli 2025 (act. 8) aufgeführten wei- teren Informationen zu publizieren beziehungsweise zu edieren. Folglich ist der entsprechende Antrag abzuweisen.</w:t>
      </w:r>
    </w:p>
    <w:p>
      <w:r>
        <w:rPr>
          <w:b/>
        </w:rPr>
        <w:t>E. 9</w:t>
      </w:r>
    </w:p>
    <w:p>
      <w:r>
        <w:t>Entsprechend dem Verfahrensausgang sind die Kosten den unterliegen- den Beschwerdeführenden aufzuerlegen und auf Fr. 800.– festzusetzen (vgl. Art. 63 Abs. 1 VwVG i.V.m. Art. 1 ff. des Reglements vom 21. Februar 2008 über die Kosten und Entschädigungen vor dem Bundesverwaltungs- gericht [VGKE, SR 173.320.2]). Sie sind durch den in gleicher Höhe geleis- teten Kostenvorschuss gedeckt. Eine Parteientschädigung fällt ausgangs- gemäss ausser Betracht (Art. 64 Abs. 1 VwVG).</w:t>
      </w:r>
    </w:p>
    <w:p>
      <w:r>
        <w:rPr>
          <w:b/>
        </w:rPr>
        <w:t>E. 10</w:t>
      </w:r>
    </w:p>
    <w:p>
      <w:r>
        <w:t>Das Bundesverwaltungsgericht entscheidet in der vorliegenden Angele- genheit endgültig (Art. 83 Bst. c Ziff. 1 BGG; vgl. Urteile des BGer 2C_468/2024 vom 3. Oktober 2024 E. 2; 2C_316/2024 vom 21. Juni 2024 E. 2). (Dispositiv nächste Seite)</w:t>
      </w:r>
    </w:p>
    <w:p>
      <w:r>
        <w:t>F-4111/2025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