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F-407/2020 vom 28. Januar 2020</w:t>
      </w:r>
    </w:p>
    <w:p>
      <w:r>
        <w:t>Bundesverwaltungsgericht, 2020-01-28, DE</w:t>
      </w:r>
    </w:p>
    <w:p>
      <w:r>
        <w:rPr>
          <w:b/>
        </w:rPr>
        <w:t xml:space="preserve">Quelle: </w:t>
      </w:r>
      <w:r>
        <w:t>https://mcp.opencaselaw.ch/entscheid/bvger_F-407_2020</w:t>
      </w:r>
    </w:p>
    <w:p>
      <w:r>
        <w:t>FR: TAF F-407/2020 du 28 janvier 2020</w:t>
      </w:r>
    </w:p>
    <w:p>
      <w:r>
        <w:t>IT: TAF F-407/2020 del 28 gennaio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offensichtlich begründete Beschwerde, weshalb der Beschwerdeentscheid nur summarisch zu begründen ist (Art. 111a Abs. 2 AsylG). Gestützt auf Art. 111a Abs. 1 AsylG wurde vorliegend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In der Beschwerde wird im Wesentlichen geltend gemacht, die Vorinstanz habe für ihr Übernahmeersuchen an die deutschen Behörden zwar ein entsprechendes Standardformblatt im Sinne von Art. 23 Abs. 4 Dublin-II-VO verwendet, jedoch mit keinem Wort die vom Beschwerdeführer die anlässlich des Dublin-Gesprächs vorgebrachten Informationen betreffend der Rückkehr nach Afghanistan erwähnt. Dies, obschon er sehr konkrete und überprüfbare Angaben zu seiner Ausreise gemacht habe. Seine Vorbringen stellten durchaus ein Indiz im Sinne von Art. 22 Abs. 3 Bst. b/i Dublin-III-VO in Verbindung mit Anhang II, Verzeichnis B: Kapitel II.3. der Durchführungsverordnung dar und seien mit Blick auf die Frage der Plausibilität seiner geltend gemachten Rückkehr nach Afghanistan in ihrer Gesamtheit zu würdigen. Zusammenfassend sei festzustellen, dass die Vorinstanz die Aufmerksamkeit der deutschen Behörden nicht auf die wesentlichen Informationen gelenkt habe, was zur Folge habe, dass die deutschen Behörden nicht über alle wichtigen Elemente verfügt hätten, um ihre Zuständigkeit zu prüfen, sodass sowohl die Anfrage vom 17. Dezember 2019 als auch die Zustimmung vom 7. Januar 2020 nicht verwertbar seien. Aufgrund dessen sei die Vorinstanz anzuhalten, auf das Asylgesuch einzutreten, eventualiter die vorliegende Angelegenheit zur Neubeurteilung an die Vorinstanz zurückzuweisen, damit diese die Anfrage wiederholen könne.</w:t>
      </w:r>
    </w:p>
    <w:p>
      <w:r>
        <w:rPr>
          <w:b/>
        </w:rPr>
        <w:t>E. 6.1</w:t>
      </w:r>
    </w:p>
    <w:p>
      <w:r>
        <w:t>Für ein Wiederaufnahmegesuch gestützt auf Art. 23 Dublin-III-VO ist gemäss Abs. 4 ein Standardformblatt zu verwenden, das Beweismittel oder Indizien im Sinne der beiden Verzeichnisse nach Art. 22 Abs. 3 und/oder sachdienliche Angaben aus der Erklärung der betroffenen Person enthalten muss, anhand derer die Behörden des ersuchten Mitgliedstaats prüfen können, ob ihr Staat auf Grundlage der in der Dublin-III-VO festgelegten Kriterien zuständig ist.</w:t>
      </w:r>
    </w:p>
    <w:p>
      <w:r>
        <w:rPr>
          <w:b/>
        </w:rPr>
        <w:t>E. 6.2</w:t>
      </w:r>
    </w:p>
    <w:p>
      <w:r>
        <w:t>Das Bundesverwaltungsgericht hat bereits im Urteil D-1787/2013 vom 8. August 2013 E. 5 (bezüglich Art. 17 Abs. 3 Dublin-II-VO) festgehalten, das mit dem Formblatt gestellte Übernahmeersuchen müsse alle Informationen enthalten, anhand derer die Behörden des ersuchten Staats prüfen können, ob ihr Staat gemäss den in der Verordnung definierten Kriterien zuständig ist. Dies gilt auch in Bezug auf Art. 23 Abs. 4 Dublin-III-VO (vgl. Urteile D-6935/2016 vom 24. Januar 2017 E. 5.3.2; F-1696/2019 vom 10. Mai 2019 E. 7.2.2). Im vorliegenden Fall ist die Vorinstanz zwar mit dem in Art. 23 Abs. 4 Dublin-III-VO vorgesehenen Standardformblatt an die deutschen Behörden gelangt, hat es jedoch in Verletzung der soeben genannten Bestimmung unterlassen, ihnen mitzuteilen, dass der Beschwerdeführer erklärt habe, er habe im Februar/März 2018 das Hoheitsgebiet der Mitgliedstaaten von I._______ aus in Richtung Heimatstaat verlassen und sei im Jahr 2019 wiederum in den Dublin-Raum eingereist. Diesbezüglich fällt insbesondere auf, dass die Vorinstanz die im erwähnten Formblatt unter Ziffer 13 aufgeführte Frage, ob der Antragsteller geltend mache, das Hoheitsgebiet der Mitgliedstaaten verlassen zu haben, mit "No" beantwortete (vgl. SEM-act. 1055319-21/7). Dadurch hat sie ihre Informationspflicht gemäss Art. 22 Dublin-III-VO verletzt und es dem ersuchten Mitgliedstaat verunmöglicht zu prüfen, ob er gemäss der Dublin-III-VO zuständig ist oder allenfalls der Erlöschenstatbestand von Art. 19 Abs. 2 Dublin-III-VO in Betracht kommt.</w:t>
      </w:r>
    </w:p>
    <w:p>
      <w:r>
        <w:rPr>
          <w:b/>
        </w:rPr>
        <w:t>E. 6.3</w:t>
      </w:r>
    </w:p>
    <w:p>
      <w:r>
        <w:t>Zusammenfassend ist nach dem Gesagten festzustellen, dass die Vor-instanz den Sachverhalt unrichtig festgestellt hat und die deutschen Behörden auf wesentliche sachdienliche Angaben nicht hingewiesen hat.</w:t>
      </w:r>
    </w:p>
    <w:p>
      <w:r>
        <w:rPr>
          <w:b/>
        </w:rPr>
        <w:t>E. 7.1</w:t>
      </w:r>
    </w:p>
    <w:p>
      <w:r>
        <w:t>Gemäss Art. 61 Abs. 1 VwVG entscheidet das Bundesverwaltungsgericht in der Sache selbst oder weist diese ausnahmsweise mit verbindlichen Weisungen an die Vorinstanz zurück.</w:t>
      </w:r>
    </w:p>
    <w:p>
      <w:r>
        <w:rPr>
          <w:b/>
        </w:rPr>
        <w:t>E. 7.2</w:t>
      </w:r>
    </w:p>
    <w:p>
      <w:r>
        <w:t>Eine Kassation und Rückweisung an die Vorinstanz ist insbesondere dann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w:t>
      </w:r>
    </w:p>
    <w:p>
      <w:r>
        <w:rPr>
          <w:b/>
        </w:rPr>
        <w:t>E. 7.3</w:t>
      </w:r>
    </w:p>
    <w:p>
      <w:r>
        <w:t>Vorliegend wurde der Sachverhalt unrichtig festgestellt und die deutschen Behörden wurden auf wesentliche Umstände, die für die Beurteilung ihrer Zuständigkeit von Bedeutung sein könnten, nicht hingewiesen, weshalb ein Entscheid in der Sache nicht infrage kommt.</w:t>
      </w:r>
    </w:p>
    <w:p>
      <w:r>
        <w:rPr>
          <w:b/>
        </w:rPr>
        <w:t>E. 8</w:t>
      </w:r>
    </w:p>
    <w:p>
      <w:r>
        <w:t>Die Beschwerde ist demnach gutzuheissen, die angefochtene Verfügung aufzuheben und die Sache zur vollständigen und richtigen Erhebung des rechtserheblichen Sachverhalts und zur Neubeurteilung an die Vorinstanz zurückzuweisen. Die Vorinstanz wird ein erneutes Wiederaufnahmegesuch an die deutschen Behörden zu stellen und diesen mitzuteilen haben, dass der Beschwerdeführer behaupte, er habe im Februar/März 2018 das Hoheitsgebiet der Mitgliedstaaten von I._______ nach Afghanistan verlassen und sei im Jahr 2019 wiederum in den Dublin-Raum eingereist. Bei diesem Ausgang des Verfahrens kann offengelassen werden, ob die Vorinstanz zu Recht auf das Asylgesuch des Beschwerdeführers nicht eingetreten ist und dessen Wegweisung nach Deutschland verfügt hat.</w:t>
      </w:r>
    </w:p>
    <w:p>
      <w:r>
        <w:rPr>
          <w:b/>
        </w:rPr>
        <w:t>E. 9.1</w:t>
      </w:r>
    </w:p>
    <w:p>
      <w:r>
        <w:t>Ausgangsgemäss sind dem Beschwerdeführer keine Kosten aufzuerlegen (Art. 63 Abs. 1 VwVG). Die Gesuche um Gewährung der unentgeltlichen Prozessführung und Verzicht auf die Erhebung eines Kostenvorschusses sind folglich gegenstandslos geworden.</w:t>
      </w:r>
    </w:p>
    <w:p>
      <w:r>
        <w:rPr>
          <w:b/>
        </w:rPr>
        <w:t>E. 9.2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