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F-4079/2022 vom 23. September 2022</w:t>
      </w:r>
    </w:p>
    <w:p>
      <w:r>
        <w:t>Bundesverwaltungsgericht, 2022-09-23, FR</w:t>
      </w:r>
    </w:p>
    <w:p>
      <w:r>
        <w:rPr>
          <w:b/>
        </w:rPr>
        <w:t xml:space="preserve">Quelle: </w:t>
      </w:r>
      <w:r>
        <w:t>https://mcp.opencaselaw.ch/entscheid/bvger_F-4079_2022</w:t>
      </w:r>
    </w:p>
    <w:p>
      <w:r>
        <w:t>FR: TAF F-4079/2022 du 23 septembre 2022</w:t>
      </w:r>
    </w:p>
    <w:p>
      <w:r>
        <w:t>IT: TAF F-4079/2022 del 23 settembre 2022</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 son recours, qui a été interjeté dans la forme et le délai prescrits, est recevable (art. 48 al. 1 et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2017 VI/5 consid. 3.1).</w:t>
      </w:r>
    </w:p>
    <w:p>
      <w:r>
        <w:rPr>
          <w:b/>
        </w:rPr>
        <w:t>E. 2.1</w:t>
      </w:r>
    </w:p>
    <w:p>
      <w:r>
        <w:t>A titre liminaire, il convient d'examiner le grief formel soulevé par le recourant, par lequel il a reproché à l'autorité intimée d'avoir manqué à son devoir d'instruction.</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w:t>
      </w:r>
    </w:p>
    <w:p>
      <w:r>
        <w:rPr>
          <w:b/>
        </w:rPr>
        <w:t>E. 2.3</w:t>
      </w:r>
    </w:p>
    <w:p>
      <w:r>
        <w:t>En l'espèce, le recourant a fait grief au SEM de ne pas avoir suffisamment instruit son état de santé en raison, d'une part, des troubles psychologiques, des problèmes de sommeil ainsi que des pertes de mémoire et de connaissance qu'il a allégués et qui n'auraient pas été investigués et, d'autre part, du fait qu'il était dans l'attente de consultations dentaire et ophtalmologique. Force est de constater que, si le journal de soins du 18 juillet 2022 indique qu'une consultation psychologique était à prévoir, aucun document en ce sens n'a toutefois été versé au dossier de première instance par la suite. Au demeurant, l'intéressé n'a pas non plus produit de document médical à l'appui de son recours. Lesdits problèmes de santé ne reposent ainsi que sur les allégations formulées par l'intéressé devant le SEM, respectivement le TAF. Quant aux consultations précitées qui seraient à venir, elles n'ont été évoquées qu'au stade de la procédure de recours, sans qu'aucun moyen de preuve ne vienne les étayer. Au vu de ce qui précède et des troubles décrits par l'intéressé, qui ne semblaient pas nécessiter de prise en charge immédiate et dont la nature n'apparaissait pas d'une gravité particulière, il ne saurait être reproché à l'autorité intimée de ne pas avoir diligenté de mesures d'instruction complémentaires à cet égard avant de statuer.</w:t>
      </w:r>
    </w:p>
    <w:p>
      <w:r>
        <w:rPr>
          <w:b/>
        </w:rPr>
        <w:t>E. 2.4</w:t>
      </w:r>
    </w:p>
    <w:p>
      <w:r>
        <w:t>S'avérant mal fondé, le grief formel doit ainsi être écarté.</w:t>
      </w:r>
    </w:p>
    <w:p>
      <w:r>
        <w:rPr>
          <w:b/>
        </w:rPr>
        <w:t>E. 3.1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3.4</w:t>
      </w:r>
    </w:p>
    <w:p>
      <w:r>
        <w:t>Dans une procédure de reprise en charge (anglais : take back), comme en l'espèce, il n'y a, en principe, aucun nouvel examen de la compétence selon le chapitre III du règlement Dublin III (cf. ATAF 2017 VI/5 consid. 6.2 et 8.2.1 et réf. cit.).</w:t>
      </w:r>
    </w:p>
    <w:p>
      <w:r>
        <w:rPr>
          <w:b/>
        </w:rPr>
        <w:t>E. 4.1</w:t>
      </w:r>
    </w:p>
    <w:p>
      <w:r>
        <w:t>En l'occurrence, les investigations entreprises par le SEM ont permis d'établir, après consultation de l'unité centrale du système européen « Eurodac », que A._______ a notamment déposé une demande d'asile en Croatie le 14 mai 2022.</w:t>
      </w:r>
    </w:p>
    <w:p>
      <w:r>
        <w:rPr>
          <w:b/>
        </w:rPr>
        <w:t>E. 4.2</w:t>
      </w:r>
    </w:p>
    <w:p>
      <w:r>
        <w:t>En date du 20 juillet 2022, le Secrétariat d'Etat a dès lors soumis aux autorités croates compétentes, dans le délai fixé à l'art. 23 par. 2 du règlement Dublin III, une requête aux fins de reprise en charge du prénommé, fondée sur l'art. 18 par. 1 let. b de ce même règlement.</w:t>
      </w:r>
    </w:p>
    <w:p>
      <w:r>
        <w:rPr>
          <w:b/>
        </w:rPr>
        <w:t>E. 4.3</w:t>
      </w:r>
    </w:p>
    <w:p>
      <w:r>
        <w:t>Le 3 août suivant, soit dans le délai fixé par l'art. 25 par. 1 RD III, lesdites autorités ont expressément accepté de reprendre en charge l'intéressé, sur la base de l'art. 20 par. 5 RD III.</w:t>
      </w:r>
    </w:p>
    <w:p>
      <w:r>
        <w:rPr>
          <w:b/>
        </w:rPr>
        <w:t>E. 4.3.1</w:t>
      </w:r>
    </w:p>
    <w:p>
      <w:r>
        <w:t>En vertu de cet article, l'Etat membre auprès duquel la demande de protection internationale a été introduite pour la première fois est tenu, dans les conditions prévues aux art. 23, 24, 25 et 29,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Cette obligation cesse lorsque l'Etat membre auquel il est demandé d'achever le processus de détermination de l'Etat membre responsable peut établir que le demandeur a quitté entre-temps le territoire des Etats membres pendant une période d'au moins trois mois ou a obtenu un titre de séjour d'un autre Etat membre.</w:t>
      </w:r>
    </w:p>
    <w:p>
      <w:r>
        <w:rPr>
          <w:b/>
        </w:rPr>
        <w:t>E. 4.3.2</w:t>
      </w:r>
    </w:p>
    <w:p>
      <w:r>
        <w:t>Cette disposition implique ainsi le retrait de la demande de protection internationale tel que défini à l'art. 2 let. e RD III. Conformément à la directive no 2013/32/UE du Parlement européen et du Conseil du 26 juin 2013 relative à des procédures communes pour l'octroi et le retrait de la protection internationale (ci-après : directive Procédure), à laquelle renvoie l'article précité, les démarches par lesquelles le demandeur met fin aux procédures déclenchées par l'introduction de sa demande de protection internationale peuvent être explicites ou implicites. Ainsi, un demandeur qui a formellement averti l'autorité compétente de l'Etat membre dans lequel il avait introduit sa première demande de son souhait de renoncer à celle-ci avant que le processus de détermination de l'Etat membre responsable soit achevé pourra néanmoins être transféré vers ce premier Etat membre en vue de l'achèvement dudit processus. Un transfert à cette fin vers ledit premier Etat membre est également possible dans une situation dans laquelle un demandeur a implicitement mis un terme à la procédure en quittant cet Etat membre, avant que le processus de détermination de l'Etat membre responsable de l'examen de la demande soit achevé. Dans ce cas de figure, même si le demandeur n'a pas informé l'autorité compétente de ce premier Etat membre de son souhait de renoncer à sa demande, le processus de détermination de l'Etat responsable est toujours en cours dans cet Etat membre. Partant, il y a lieu de considérer que l'art. 20 par. 5 RD III est également applicable dans une telle situation, le départ du demandeur du territoire d'un Etat membre dans lequel il a introduit une demande de protection internationale devant alors être assimilé, aux fins de l'application de cette disposition, à un retrait implicite de cette demande (cf. arrêt de la Cour de justice de l'Union européenne [CJUE] C-582/17 et C-583/17 du 2 avril 2019 points 48 à 50).</w:t>
      </w:r>
    </w:p>
    <w:p>
      <w:r>
        <w:rPr>
          <w:b/>
        </w:rPr>
        <w:t>E. 4.3.3</w:t>
      </w:r>
    </w:p>
    <w:p>
      <w:r>
        <w:t>En l'espèce, lorsqu'elles ont accepté la requête de reprise en charge formulée par le SEM, les autorités croates ont exposé que l'intéressé avait manifesté son intention de demander l'asile en Croatie le 14 mai 2022, mais avait disparu depuis le 3 juin 2022, soit avant de déposer une requête formelle à cet égard, tout en précisant que la procédure à son égard était encore en cours. En tout état de cause et tel que déjà mentionné, le dépôt par A._______ d'une demande de protection internationale en Croatie est confirmé par les données enregistrées dans le système « Eurodac » (cf. supra, consid. A et 4.1). Dans ces conditions et dans la mesure où le prénommé n'a pas quitté le territoire des Etats membres ni n'a obtenu de titre de séjour de la part d'un Etat membre dans l'intervalle, il se justifie de faire application de l'art. 20 par. 5 RD III, conformément à la jurisprudence précitée (cf. supra, consid. 4.3.2).</w:t>
      </w:r>
    </w:p>
    <w:p>
      <w:r>
        <w:rPr>
          <w:b/>
        </w:rPr>
        <w:t>E. 4.4</w:t>
      </w:r>
    </w:p>
    <w:p>
      <w:r>
        <w:t>La Croatie a du reste reconnu sa compétence pour achever le processus de détermination de l'Etat membre responsable de l'examen de la demande d'asile déposée par l'intéressé, point qui n'est pas contesté.</w:t>
      </w:r>
    </w:p>
    <w:p>
      <w:r>
        <w:rPr>
          <w:b/>
        </w:rPr>
        <w:t>E. 5.1</w:t>
      </w:r>
    </w:p>
    <w:p>
      <w:r>
        <w:t>Cela étant, il y a lieu d'examiner, en vertu de l'art. 3 par. 2 al. 2 du règlement Dublin III, s'il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5.2</w:t>
      </w:r>
    </w:p>
    <w:p>
      <w:r>
        <w:t>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w:t>
      </w:r>
    </w:p>
    <w:p>
      <w:r>
        <w:rPr>
          <w:b/>
        </w:rPr>
        <w:t>E. 5.3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Procédure ; directive no 2013/33/UE du Parlement européen et du Conseil du 26 juin 2013 établissant des normes pour l'accueil des personnes demandant la protection internationale, ci-après : directive Accueil]).</w:t>
      </w:r>
    </w:p>
    <w:p>
      <w:r>
        <w:rPr>
          <w:b/>
        </w:rPr>
        <w:t>E. 5.4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5.5</w:t>
      </w:r>
    </w:p>
    <w:p>
      <w:r>
        <w:t>Aux yeux du Tribunal, nonobstant les prises de position critiques de nombreux organismes (notamment le Conseil de l'Europe) en la matière, le système d'asile et d'accueil croate ne présente pas de défaillances systémiques, respectivement de risques avérés de push-backs à la frontière avec la Bosnie et Herzégovine, s'agissant des requérants qui ont déjà déposé une demande de protection internationale en Croatie et qui sont explicitement repris en charge par cet Etat dans le cadre d'une procédure Dublin (cf. arrêts du TAF E-2755/2022 du 8 septembre 2022 consid. 5.2.3 et jurisp. cit. ; E-1854/2022 du 1er septembre 2022 consid. 6.4 et jurisp. cit. ; D-3316/2022 du 29 août 2022 ; E-3554/2022 du 25 août 2022 consid. 6.2 et jurisp. cit.).</w:t>
      </w:r>
    </w:p>
    <w:p>
      <w:r>
        <w:rPr>
          <w:b/>
        </w:rPr>
        <w:t>E. 5.6</w:t>
      </w:r>
    </w:p>
    <w:p>
      <w:r>
        <w:t>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Partant, l'application de l'art. 3 par. 2 al. 2 RD III ne se justifie pas en l'espèce.</w:t>
      </w:r>
    </w:p>
    <w:p>
      <w:r>
        <w:rPr>
          <w:b/>
        </w:rPr>
        <w:t>E. 6.1</w:t>
      </w:r>
    </w:p>
    <w:p>
      <w:r>
        <w:t>Pour s'opposer à son transfert, l'intéressé a, en substance, fait valoir que les conditions d'accueil en Croatie étaient déplorables et qu'il y avait été maltraité et enfermé par la police. Il a également invoqué son état de santé et a soutenu qu'il ne pourrait bénéficier des soins nécessaires au sein des structures médicales croates. Dans ce contexte, il a sollicité l'application de la clause discrétionnaire prévue à l'art. 17 par. 1 du règlement Dublin III (clause de souveraineté).</w:t>
      </w:r>
    </w:p>
    <w:p>
      <w:r>
        <w:rPr>
          <w:b/>
        </w:rPr>
        <w:t>E. 6.2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 cf. ATAF 2015/9 consid. 8).</w:t>
      </w:r>
    </w:p>
    <w:p>
      <w:r>
        <w:rPr>
          <w:b/>
        </w:rPr>
        <w:t>E. 6.3</w:t>
      </w:r>
    </w:p>
    <w:p>
      <w:r>
        <w:t>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7.1</w:t>
      </w:r>
    </w:p>
    <w:p>
      <w:r>
        <w:t>En l'occurrence, l'intéressé n'a pas allégué ni n'a, a fortiori, démontré l'existence d'un risque concret et avéré que les autorités croates refuseraient de le reprendre en charge et de poursuivre l'examen de sa demande de protection, en violation de la directive Procédure. A cet égard, force est de relever à nouveau que dites autorités ont expressément accepté la requête de reprise en charge du SEM, en précisant que la procédure d'asile sur place était toujours pendante (cf. supra, consid. F et 4.3).</w:t>
      </w:r>
    </w:p>
    <w:p>
      <w:r>
        <w:rPr>
          <w:b/>
        </w:rPr>
        <w:t>E. 7.2</w:t>
      </w:r>
    </w:p>
    <w:p>
      <w:r>
        <w:t>Par ailleurs, le recourant n'a fourni aucun élément concret susceptible de démontrer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7.3</w:t>
      </w:r>
    </w:p>
    <w:p>
      <w:r>
        <w:t>S'agissant de la situation médicale, il ressort du dossier que A._______ a été suivi pour un abcès anal et que celui-ci nécessite des soins bénins au moins jusqu'en octobre 2022. Par ailleurs, le prénommé s'est plaint de troubles psychologiques, de problèmes de sommeil ainsi que de pertes de mémoire et de connaissance. A l'appui de son recours, il a en outre allégué qu'une intervention chirurgicale était prévue le 3 octobre 2022 pour traiter ledit abcès, que des analyses sanguines étaient en cours et qu'il était dans l'attente de consultations dentaire et ophtalmologique, sans pour autant produire de documents médicaux à cet égard.</w:t>
      </w:r>
    </w:p>
    <w:p>
      <w:r>
        <w:rPr>
          <w:b/>
        </w:rPr>
        <w:t>E. 7.3.1</w:t>
      </w:r>
    </w:p>
    <w:p>
      <w:r>
        <w:t>Au vu de la nature des problèmes de santé décrits ci-dessus, lesquels ne reflètent pas une gravité particulière (cf. supra, consid. G, 2.3 et 7.3), rien ne permet toutefois d'inférer que l'intéressé ne serait pas apte à voyager ou que son transfert en Croatie représenterait un danger concret pour sa santé, que ce soit à l'heure actuelle ou après l'intervention chirurgicale qu'il devrait subir. A cet égard, s'il s'avérait qu'une telle intervention devait effectivement avoir lieu le 3 octobre prochain, les autorités chargées de l'exécution du transfert veilleront, dans la mesure du possible, à procéder à celle-ci uniquement après cette date.</w:t>
      </w:r>
    </w:p>
    <w:p>
      <w:r>
        <w:rPr>
          <w:b/>
        </w:rPr>
        <w:t>E. 7.3.2</w:t>
      </w:r>
    </w:p>
    <w:p>
      <w:r>
        <w:t>En outre, la Croatie, qui est liée par la directive Accueil et qui dispose de structures médicales adéquates (cf. arrêts du TAF précités E-2755/2022 consid. 6.4 ; E-1854/2022 consid. 7.4.2 et jurisp. cit.),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7.3.3</w:t>
      </w:r>
    </w:p>
    <w:p>
      <w:r>
        <w:t>Dans ces conditions, c'est à juste titre que le SEM a retenu que les problèmes de santé allégués n'apparaissaient pas d'une gravité telle que le transfert du recourant en Croatie serait illicite au sens restrictif de la jurisprudence précitée (cf. supra, consid. 6.3).</w:t>
      </w:r>
    </w:p>
    <w:p>
      <w:r>
        <w:rPr>
          <w:b/>
        </w:rPr>
        <w:t>E. 7.3.4</w:t>
      </w:r>
    </w:p>
    <w:p>
      <w:r>
        <w:t>En tout état de cause, dans le cas où l'intéressé devait avoir besoin de soins particuliers au moment de son transfert vers la Croatie, il lui appartiendra d'en informer les autorités suisses chargées de l'exécution de cette mesure. Le cas échéant, il incombera à celles-ci de transmettre, sous une forme appropriée, aux autorités croates les renseignements permettant une éventuelle prise en charge médicale spécifique (art. 31 et 32 RD III).</w:t>
      </w:r>
    </w:p>
    <w:p>
      <w:r>
        <w:rPr>
          <w:b/>
        </w:rPr>
        <w:t>E. 7.4</w:t>
      </w:r>
    </w:p>
    <w:p>
      <w:r>
        <w:t>En outre, s'il a certes exposé que ses conditions de vie en Croatie avaient été difficiles et que la police l'avait maltraité, le recourant n'a pas démontré que ses conditions d'existence en Croatie revêtiraient un tel degré de pénibilité et de gravité qu'elles seraient constitutives d'un traitement contraire à l'art. 3 CEDH ou encore à l'art. 3 Conv. torture. 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w:t>
      </w:r>
    </w:p>
    <w:p>
      <w:r>
        <w:rPr>
          <w:b/>
        </w:rPr>
        <w:t>E. 7.5</w:t>
      </w:r>
    </w:p>
    <w:p>
      <w:r>
        <w:t>Au demeurant, si - après son transfert en Croatie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croates, en usant des voies de droit adéquates (art. 26 directive Accueil).</w:t>
      </w:r>
    </w:p>
    <w:p>
      <w:r>
        <w:rPr>
          <w:b/>
        </w:rPr>
        <w:t>E. 7.6</w:t>
      </w:r>
    </w:p>
    <w:p>
      <w:r>
        <w:t>Il convient encore de rappeler que le règlement Dublin ne confère pas aux demandeurs d'asile le droit de choisir l'Etat membre par lequel ils souhaitent que leur demande soit traitée ou offrant, à leur avis, les meilleures conditions d'accueil comme État responsable de l'examen de leur demande d'asile (cf. ATAF 2017 VI/7 consid. 6.11 ; 2017 VI/5 consid. 8.2.1).</w:t>
      </w:r>
    </w:p>
    <w:p>
      <w:r>
        <w:rPr>
          <w:b/>
        </w:rPr>
        <w:t>E. 7.7</w:t>
      </w:r>
    </w:p>
    <w:p>
      <w:r>
        <w:t>Par conséquent, le transfert du recourant vers la Croatie n'est pas contraire aux obligations découlant de dispositions conventionnelles auxquelles la Suisse est liée.</w:t>
      </w:r>
    </w:p>
    <w:p>
      <w:r>
        <w:rPr>
          <w:b/>
        </w:rPr>
        <w:t>E. 7.8</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rPr>
          <w:b/>
        </w:rPr>
        <w:t>E. 7.9</w:t>
      </w:r>
    </w:p>
    <w:p>
      <w:r>
        <w:t>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8</w:t>
      </w:r>
    </w:p>
    <w:p>
      <w:r>
        <w:t>Au vu de ce qui précède, c'est à juste titre que le SEM n'est pas entré en matière sur la demande d'asile de l'intéressé, en application de l'art. 31a al. 1 let. b LAsi, et a prononcé son transfert de la Suisse vers la Croatie, en application de l'art. 44 LAsi, aucune exception à la règle générale du renvoi n'étant réalisée (art. 32 OA 1). Par conséquent, le recours doit être rejeté.</w:t>
      </w:r>
    </w:p>
    <w:p>
      <w:r>
        <w:rPr>
          <w:b/>
        </w:rPr>
        <w:t>E. 9</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10.1</w:t>
      </w:r>
    </w:p>
    <w:p>
      <w:r>
        <w:t>Dans la mesure où il est immédiatement statué sur le fond, les demandes tendant à l'octroi de l'effet suspensif et à la dispense du versement d'une avance de frais sont sans objet. Les conclusions du recours étant d'emblée vouées à l'échec, la requête d'assistance judiciaire partielle et totale est rejetée.</w:t>
      </w:r>
    </w:p>
    <w:p>
      <w:r>
        <w:rPr>
          <w:b/>
        </w:rPr>
        <w:t>E. 10.2</w:t>
      </w:r>
    </w:p>
    <w:p>
      <w:r>
        <w:t>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