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F-4077/2025 vom 25. Juni 2025</w:t>
      </w:r>
    </w:p>
    <w:p>
      <w:r>
        <w:t>Bundesverwaltungsgericht, 2025-06-25, DE</w:t>
      </w:r>
    </w:p>
    <w:p>
      <w:r>
        <w:rPr>
          <w:b/>
        </w:rPr>
        <w:t xml:space="preserve">Quelle: </w:t>
      </w:r>
      <w:r>
        <w:t>https://mcp.opencaselaw.ch/entscheid/bvger_F-4077_2025</w:t>
      </w:r>
    </w:p>
    <w:p>
      <w:r>
        <w:t>FR: TAF F-4077/2025 du 25 juin 2025</w:t>
      </w:r>
    </w:p>
    <w:p>
      <w:r>
        <w:t>IT: TAF F-4077/2025 del 25 giugno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für die Behandlung der Beschwerde zuständig (Art. 105 AsylG [SR 142.31]; Art. 31 ff. VGG) und die Sachurteilsvoraussetzungen sind erfüllt, so dass auf die Beschwerde einzutreten ist (Art. 48 Abs. 1 VwVG, Art. 108 Abs. 3 AsylG und Art. 52 Abs. 1 VwVG).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Die Vorinstanz hat korrekt erwogen, dass gemäss Art. 20 Abs. 5 Dublin-III-VO grundsätzlich Kroatien für die Behandlung der Asylgesuche der Beschwerdeführenden zuständig ist, dass das kroatische Asylsystem rechtsprechungsgemäss keine systemischen Mängel aufweist, aufgrund derer die Zuständigkeit gemäss Art. 3 Abs. 2 Dublin-III-VO auf die Schweiz überginge (vgl. Urteil E-1488/2020 vom 22. März 2023 [als Referenzurteil publiziert] E. 9.5), und dass vorliegend keine völkerrechtlichen Vollzugshindernisse ersichtlich sind, welche die Schweiz zu einem Selbsteintritt nach Art. 17 Abs. 1 Dublin-III-VO verpflichten würden. Dabei hat sie die Vorbringen der Beschwerdeführenden im Hinblick auf die geltend gemachte schlechte Behandlung seitens der kroatischen Behörden (Aufgriff, Abnahme der Fingerabdrücke unter Zwang sowie fehlender Zugang zu einer Unterkunft und gesundheitlicher Versorgung), das Kindswohl sowie die gesundheitlichen Leiden insbesondere des jüngsten Kindes berücksichtigt und rechtsprechungskonform gewürdigt. Darüber hinaus hat die Vorinstanz in rechtsfehlerfreier Ausübung des ihr nach Art. 17 Abs. 1 Dublin-III-VO und Art. 29a Abs. 3 AsylV 1 zukommenden Ermessens von einem Selbsteintritt der Schweiz abgesehen. Sie ist demnach zu Recht in Anwendung von Art. 31a Abs. 1 Bst. b AsylG auf das Asylgesuch der Beschwerdeführenden nicht eingetreten und hat in Anwendung von Art. 44 AsylG ihre Wegweisung nach Kroatien angeordnet. Zur näheren Begründung wird auf die ausführlichen Erwägungen der Vorinstanz verwiesen.</w:t>
      </w:r>
    </w:p>
    <w:p>
      <w:r>
        <w:rPr>
          <w:b/>
        </w:rPr>
        <w:t>E. 2.2</w:t>
      </w:r>
    </w:p>
    <w:p>
      <w:r>
        <w:t>Was die Beschwerdeführenden auf Rechtsmittelebene vorbringen, vermag nichts an der Richtigkeit der angefochtenen Verfügung zu ändern. Die von ihnen geltend gemachten gesundheitlichen Probleme (psychische Leiden, Schmerzen in der Schulter, Albträume, Autismus) sind nicht derart gravierend, dass gestützt auf Art. 3 EMRK von einer Überstellung nach Kroatien abgesehen werden müsste. Nichtsdestotrotz ist ergänzend darauf hinzuweisen, dass Kroatien über eine ausreichende medizinische Infrastruktur verfügt. Der von den Beschwerdeführenden wiedergegebene Bericht der Schweizerischen Flüchtlingshilfe (SFH) vom Februar 2025 zur Aufnahmesituation in Kroatien und zu gewaltvollen Rückführungen (Kettenabschiebungen) sowie die geltend gemachten Erlebnisse vermögen keine systemischen Mängel im Sinne von Art. 3 Abs. 2 Dublin-III-VO zu belegen. Für eine Änderung der Rechtsprechung (zu den Voraussetzungen: BGE 147 V 342 E. 5.5.1 m.w.H.) besteht in Würdigung der von den Beschwerdeführenden gemachten Äusserungen keine Veranlassung. Es ist demnach davon auszugehen, dass Gesuchstellende, welche gestützt auf die Dublin-III-VO nach Kroatien überstellt werden, Zugang zum dortigen Asylverfahren erhalten und Kroatien die Sicherheit überstellter Personen garantiert und deren Rechte gemäss dem internationalen Recht einhält (siehe E. 2.1 hiervor). Auch das von den Beschwerdeführenden eingeleitete Strafverfahren gegen die kroatischen Behörden vermag an dieser Einschätzung nichts zu ändern.</w:t>
      </w:r>
    </w:p>
    <w:p>
      <w:r>
        <w:rPr>
          <w:b/>
        </w:rPr>
        <w:t>E. 2.3</w:t>
      </w:r>
    </w:p>
    <w:p>
      <w:r>
        <w:t>Aus den vorangehenden Erwägungen ergibt sich, dass die sinngemäss erhobene Rüge der Beschwerdeführenden, wonach die Vorinstanz ihre Untersuchungspflicht in Bezug auf die Situation in Kroatien sowie den gesicherten Zugang zu einer Unterkunft und medizinischer Betreuung verletzt habe, unbegründet ist. So wurde der Sachverhalt durch die Vorinstanz genügend festgestellt. Der Eventualantrag auf Rückweisung der Sache an die Vorinstanz ist abzuweisen.</w:t>
      </w:r>
    </w:p>
    <w:p>
      <w:r>
        <w:rPr>
          <w:b/>
        </w:rPr>
        <w:t>E. 2.4</w:t>
      </w:r>
    </w:p>
    <w:p>
      <w:r>
        <w:t>Das Bundesverwaltungsgericht geht in seiner Praxis davon aus, dass die schweizerischen Behörden bei den kroatischen Behörden in der Regel keine individuellen Zusicherungen bezüglich des Zugangs zu adäquater Unterbringung, Betreuung und medizinischer Versorgung einzuholen haben (vgl. Referenzurteil E-1488/2020 vom 22. März 2023 E. 12). Das entsprechende Subeventualbegehren ist ebenfalls abzuweisen.</w:t>
      </w:r>
    </w:p>
    <w:p>
      <w:r>
        <w:rPr>
          <w:b/>
        </w:rPr>
        <w:t>E. 3</w:t>
      </w:r>
    </w:p>
    <w:p>
      <w:r>
        <w:t>Nach dem Gesagten ist die angefochtene Verfügung nicht zu beanstanden (Art. 106 AsylG) und die Beschwerde ist abzuweisen.</w:t>
      </w:r>
    </w:p>
    <w:p>
      <w:r>
        <w:rPr>
          <w:b/>
        </w:rPr>
        <w:t>E. 4</w:t>
      </w:r>
    </w:p>
    <w:p>
      <w:r>
        <w:t>Mit vorliegendem Urteil fällt der am 6. Juni 2025 angeordnete Vollzugsstopp dahin.</w:t>
      </w:r>
    </w:p>
    <w:p>
      <w:r>
        <w:rPr>
          <w:b/>
        </w:rPr>
        <w:t>E. 5</w:t>
      </w:r>
    </w:p>
    <w:p>
      <w:r>
        <w:t>Bei diesem Ausgang des Verfahrens sind die Kosten den unterliegenden Beschwerdeführenden aufzuerlegen (Art. 63 Abs. 1 VwVG) und auf insgesamt Fr. 750.- festzusetzen (Art. 1-3 des Reglements vom 21. Februar 2008 über die Kosten und Entschädigungen vor dem Bundesverwaltungsgericht [VGKE, SR173.320.2]).</w:t>
      </w:r>
    </w:p>
    <w:p>
      <w:r>
        <w:rPr>
          <w:b/>
        </w:rPr>
        <w:t>E. 6</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