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F-404/2016 vom 2. Oktober 2017</w:t>
      </w:r>
    </w:p>
    <w:p>
      <w:r>
        <w:t>Bundesverwaltungsgericht, 2017-10-02, DE</w:t>
      </w:r>
    </w:p>
    <w:p>
      <w:r>
        <w:rPr>
          <w:b/>
        </w:rPr>
        <w:t xml:space="preserve">Quelle: </w:t>
      </w:r>
      <w:r>
        <w:t>https://mcp.opencaselaw.ch/entscheid/bvger_F-404_2016</w:t>
      </w:r>
    </w:p>
    <w:p>
      <w:r>
        <w:t>FR: TAF F-404/2016 du 2 octobre 2017</w:t>
      </w:r>
    </w:p>
    <w:p>
      <w:r>
        <w:t>IT: TAF F-404/2016 del 2 ottobre 2017</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In Konkretisierung dieser Bestimmung sieht Art. 74 der Verordnung vom 24. Oktober 2007 über Zulassung, Aufenthalt und Erwerbstätigkeit (VZAE, SR 142.201)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(Abs. 5).</w:t>
      </w:r>
    </w:p>
    <w:p>
      <w:r>
        <w:rPr>
          <w:b/>
        </w:rPr>
        <w:t>E. 4.1</w:t>
      </w:r>
    </w:p>
    <w:p>
      <w:r>
        <w:t>Zur Begründung der Beschwerdebegehren macht der Beschwerdeführer im Wesentlichen geltend, die Berechnungen der Vorinstanz im Zusammenhang mit der Frage, ob die Familie nicht auf Sozialhilfe angewiesen wäre, seien hinsichtlich der Bedarfs- wie auch der Ertragsseite fehlerhaft ausgefallen. So habe das Amt für (...) des Kantons N._______ bei der Bedarfsberechnung auf die VOF-Richtlinien abgestellt, um die Addition eines Ergänzungsbedarfs von Fr. 744.- zu begründen. Dies sei jedoch nicht zulässig, weil die Vorinstanz diesen Ergänzungsbedarf ohne Begründung in die Berechnung habe einfliessen lassen (vgl. Urteil des BGer 2C_685/2010 vom 30. Mai 2011 E. 2.3), werde doch im Urteil des Obergerichts des Kantons N._______ (vgl. B20/1) zur Begründung für den Ergänzungsbedarf lediglich pauschal auf Weisungen der Vorinstanz verwiesen. Dementsprechend belaufe sich der Aufwand für eine vierköpfige Familie auf Fr. 2'101.-, umfassend den Grundbedarf für den Lebensunterhalt von vier Personen, auf Fr. 1'200.- für die Mietkosten einer Vierzimmerwohnung, auf Fr. 482.20 für die Krankenkassenprämien mit Verbilligung sowie auf Erwerbsunkosten von Fr. 250.-, nach dem Gesagten auf ein Total von Fr. 4'033.20. Auch auf der Ertragsseite sei die Berechnung des Amts für (...) des Kantons N._______ und des SEM nicht korrekt. So zeigten die letzten 11 Lohnabrechnungen, dass der Beschwerdeführer einen durchschnittlichen Nettolohn (inkl. 13. Monatslohn) von Fr. 3'212.70 erwirtschafte, ab Januar 2016 sogar Fr. 100.- zusätzlich, weil er in eine höhere Lohnstufe versetzt worden sei. Dementsprechend sei von einem Einkommen von Fr. 3'321.- (inkl. 13. Monatslohn) auszugehen. Hinzu kämen Kinderzulagen von Fr. 400.-, weshalb sich ein Total von Fr. 3'721.- ergebe. Dementsprechend betrage der Fehlbetrag lediglich Fr. 312.20. Zudem sei die Frau des Beschwerdeführers bereit, eine Arbeit zu verrichten, welche keine Deutschkenntnisse erfordere. Der Beschwerdeführer werde aufgrund seiner sozialen Stellung diskriminiert, wenn er seine Familie nicht nachziehen könne, dies umso mehr, als er entgegen der Ansicht der Vorinstanz über ein gefestigtes Aufenthaltsrecht in der Schweiz verfüge. Schliesslich könne er sein Familienleben weder in der Autonomen Region Tibet noch in Indien leben. Das Familienleben könne nur und ausschliesslich in der Schweiz gelebt werden, und auch das Kindeswohl spreche dafür.</w:t>
      </w:r>
    </w:p>
    <w:p>
      <w:r>
        <w:rPr>
          <w:b/>
        </w:rPr>
        <w:t>E. 4.2.1</w:t>
      </w:r>
    </w:p>
    <w:p>
      <w:r>
        <w:t>Diese Vorbringen in der Beschwerdeschrift wie auch diejenigen in der Replik vom 3. März 2016 vermögen indessen nicht zu einer anderen Betrachtungsweise zu führen.</w:t>
      </w:r>
    </w:p>
    <w:p>
      <w:r>
        <w:rPr>
          <w:b/>
        </w:rPr>
        <w:t>E. 4.2.2</w:t>
      </w:r>
    </w:p>
    <w:p>
      <w:r>
        <w:t>Den Ausführungen des Beschwerdeführers zufolge beläuft sich der Fehlbetrag zwischen Bedarfs- und Ertragsseite auf lediglich Fr. 312.20. pro Monat. Indessen erweist sich diese Berechnung, selbst wenn der Wegfall des vom kantonalen Migrationsamt (pauschal) in Rechnung gestellten Ergänzungsbedarfs von Fr. 744.- auf der Bedarfsseite sowie die Lohnerhöhung von Fr. 100.- auf der Ertragsseite unbesehen anerkannt würden, ihrerseits als unzutreffend, ergibt sich doch aus den vom Beschwerdeführer selbst eingereichten Unterlagen, dass beispielsweise die Krankenkassenfranchisen für ihn selbst (Fr. 500.-, bei einem Selbstbehalt von 10 % bis maximal Fr. 700.- pro Jahr) und insbesondere seine Ehefrau (Fr. 2'500.-, mit identischer Selbstbehaltsregelung) einen in Relation zum Arbeitseinkommen und der jeweiligen gesundheitlichen Verfassung doch etwas hohen Betrag von insgesamt Fr. 3'000.- pro Jahr erreichen (vgl. Akte B10/26). Zwar fallen bei der Wahl einer höheren Franchise die periodisch fälligen Krankenkassenprämien etwas tiefer aus, doch wirken sich allfällige Arztbesuche tendenziell umso ungünstiger auf das Budget aus. Da der Beschwerdeführer depressiv ist und die Ehefrau an Epilepsie leidet, ist vorliegend nicht davon auszugehen, es werde zu keinen Arztbesuchen kommen, dies umso weniger, als die beiden Kinder ebenfalls potentielle Patienten mit einem maximalen Selbstbehalt von je Fr. 350.- pro Jahr sind. Dabei sind Kosten für allfällige Zahnbehandlungen und -kontrollen, die in einem vier Personen umfassenden Haushalt ebenfalls regelmässig anfallen, nicht enthalten. Desgleichen fehlen allerlei Ausgaben wie die Hausrat- und Haftpflichtversicherung, Ausgaben für die Wohnungseinrichtung, welche nicht bereits durch den Grundbedarf abgedeckt sind, oder solche, die sich im Hinblick auf die Integration als unumgänglich erweisen (vgl. die "Richtlinien für die Ausgestaltung und Bemessung der Sozialhilfe" der Schweizerischen Konferenz für Sozialhilfe (SKOS-Richtlinien). Dementsprechend ist davon auszugehen, dass sich auf der Bedarfsseite eine ex ante nicht genau bezifferbare Lücke auftut, weshalb der Fehlbetrag auf jeden Fall signifikant ansteigt, selbst wenn die Krankenkassenprämien (und weitere Kosten) seit dem Jahre 2015 unverändert geblieben wären, was auch im Kanton N._______ eher nicht dem üblichen Lauf der Dinge entspricht. Da im Übrigen die Bürgschaftserklärung in der vorliegenden Form nichtig ist, erübrigen sich weitere Ausführungen dazu, zumal sie de iure nicht existiert und der Beschwerdeführer nach dem Gesagten von dieser Seite hier und heute keine Entlastung zu erwarten hat. Dementsprechend ist nicht davon auszugehen, die Schere zwischen Bedarfs- und Ertragsseite werde sich in absehbarer Zeit von selbst schliessen, dies umso weniger, als die Ehefrau an Epilepsie leidet und unter diesem Gesichtspunkt in ihren Erwerbsmöglichkeiten eingeschränkt ist, selbst wenn sie sich bereits bei ihrer Ankunft in der Schweiz auf Deutsch verständlich machen könnte. Arbeitsfähigkeit, -willigkeit und hinreichende Deutschkenntnisse genügen indes für sich allein genommen nicht, um ein hypothetisches Einkommen der Ehefrau in die Berechnung einzubeziehen. Hierzu bedürfte es eines rechtsgültigen Arbeitsvertrages, während demgegenüber die blosse Hoffnung, sie könnte zu einem späteren Zeitpunkt im gleichen Alters- und Pflegeheim einer Arbeit nachgehen, unerheblich ist. Dementsprechend erweisen sich, wie die Vorinstanz zu Recht festgestellt hat, die finanziellen Mittel des Beschwerdeführers für die Bestreitung des Lebensunterhalts seiner vierköpfigen Familie als unzureichend. Die Verweigerung des Familiennachzugs gemäss Art. 85 Abs. 7 AuG erweist sich damit im vorliegenden Fall als rechtmässig, da zumindest eines der kumulativen Kriterien dieser Bestimmung, wie nachstehend auszuführen ist, ohne Verletzung von Völkerrecht als nicht erfüllt zu betrachten ist.</w:t>
      </w:r>
    </w:p>
    <w:p>
      <w:r>
        <w:rPr>
          <w:b/>
        </w:rPr>
        <w:t>E. 4.3</w:t>
      </w:r>
    </w:p>
    <w:p>
      <w:r>
        <w:t>In der Beschwerde wird geltend gemacht, dass der Beschwerdeführer in dieser Situation aus völkerrechtlichen Bestimmungen etwas zu seinen Gunsten ableiten kann.</w:t>
      </w:r>
    </w:p>
    <w:p>
      <w:r>
        <w:rPr>
          <w:b/>
        </w:rPr>
        <w:t>E. 4.4.1</w:t>
      </w:r>
    </w:p>
    <w:p>
      <w:r>
        <w:t>Soweit der Beschwerdeführer sinngemäss geltend macht, aus seiner Flüchtlingseigenschaft ergäbe sich ein bedingungsloser Anspruch auf Familiennachzug ist Folgendes festzuhalten:</w:t>
      </w:r>
    </w:p>
    <w:p>
      <w:r>
        <w:rPr>
          <w:b/>
        </w:rPr>
        <w:t>E. 4.4.2</w:t>
      </w:r>
    </w:p>
    <w:p>
      <w:r>
        <w:t>Im Abkommen über die Rechtsstellung der Flüchtlinge vom 28. Juli 1951 (FK, SR 0.142.30) wurde der Grundsatz der "Familieneinheit" beziehungsweise das Recht des Flüchtlings auf "Wiedervereinigung mit seiner Familie" nicht als Bestandteil der Definition des Flüchtlingsbegriffs aufgenommen.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(vgl. UNHCR, Handbuch über Verfahren und Kriterien zur Feststellung der Flüchtlingseigenschaft gemäss dem Abkommen von 1951 und dem Protokoll von 1967 über die Rechtsstellung der Flüchtlinge, 1. September 1979, Anhang I; Exekutiv-Komitee des UNHCR, Beschluss Nr. 24 (XXXII) Familienzusammenführung; vgl. auch Peter Zimmermann, Der Grundsatz der Familieneinheit im Asylrecht der Bundesrepublik Deutschland und der Schweiz, Berlin 1991, welcher dem Grundsatz der Familieneinheit immerhin Soft-Law-Charakter zuspricht [S. 116]). Daraus wird ersichtlich, dass sich aus den Empfehlungen der Schlussakte der FK kein absolutes Recht auf Einreise ergibt und das Recht auf Familieneinheit nicht tangiert wird, wenn die Einreise von Angehörigen an gewisse Bedingungen geknüpft wird.</w:t>
      </w:r>
    </w:p>
    <w:p>
      <w:r>
        <w:rPr>
          <w:b/>
        </w:rPr>
        <w:t>E. 4.4.3</w:t>
      </w:r>
    </w:p>
    <w:p>
      <w:r>
        <w:t>Der Beschwerdeführer macht weiter sinngemäss geltend, eine strikte Anwendung der Kriterien nach Art. 85 Abs. 7 AuG, wie das SEM dies in seinem Fall mit dem Kriterium der Sozialhilfeabhängigkeit (Bst. c der genannten Bestimmung) tue, sei mit Art. 8 EMRK nicht vereinbar. 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Urteile des BGer 2C_360/2016 vom 31. Januar 2017 E. 5.2 m.H.; vgl. zur Rechtsprechung des EGMR die Urteile Jeunesse gegen Niederlande vom 3. Oktober 2014 [Nr. 12738/10] § 103 ff. m.w.H., Agraw gegen Schweiz vom 29. Juli 2010 [Nr. 3295/06] § 44 ff. und Mengesha Kimfe gegen Schweiz vom 29. Juli 2010 [Nr. 24404/05] § 61 ff.). Angesichts der zunehmenden Aufweichung des Begriffs des faktischen Anwesenheitsrechts durch das Bundesgericht sowie der ständigen Rechtsprechung des Europäischen Gerichtshofs für Menschenrechte (vgl. insb. die Urteile Jeunesse § 103 ff., Tanda-Muzinga gegen Frankreich vom 10. Juli 2014 [Nr. 2260/10] § 75 f., 82 und Mugenzi gegen Frankreich vom 10. Juli 2014 [Nr. 52701/09] § 54 f., 62, je m.w.H.) erscheint es angezeigt, bei Familiennachzugsgesuchen von (vorläufig aufgenommenen) Flüchtlingen betreffend deren Ehegatten und minderjährigen Kindern ein faktisches Aufenthaltsrecht anzunehmen und die Dauer des Aufenthalts erst in der Güterabwägung zu berücksichtigen. Dabei geht es nicht um die Vorwegnahme eines Anspruchs auf Familiennachzug, sondern lediglich um die Prüfung, ob dem Familienleben des Flüchtlings bei der Beurteilung der Anspruchsvoraussetzungen in zureichender Weise Rechnung getragen wurde (vgl. Urteil des BGer 2C_674/2013 vom 23. Januar 2014 E. 4.3 mit Verweis auf das Urteil 2C_320/2013 vom 11. Dezember 2013 E. 3.3.3). Die weiteren einzelfallspezifischen Umstände - insbesondere die Inkaufnahme der Trennung der Familie, allfällige Kontaktmöglichkeiten in einem Drittstaat sowie die Beurteilung des weiteren Verbleibs in der Schweiz angesichts der Situation im Heimatland - sind ebenfalls in die Interessenabwägung nach Art. 8 Ziff. 2 EMRK miteinzubeziehen (vgl. Andreas Zünd/Thomas Hugi Yar, Aufenthaltsbeendende Massnahmen im schweizerischen Ausländerrecht, insbesondere unter dem Aspekt des Privat- und Familienlebens, EuGRZ 2013, N. 29 ff. m.w.H; Peter Uebersax, Die EMRK und das Migrationsrecht aus der Sicht der Schweiz, in: Breitenmoser/Ehrenzeller [Hrsg.], EMRK und die Schweiz, 2010, S. 231 f.; Martina Caroni, in: SHK AuG, Vorbemerkungen zu Art. 42-52 N. 57). Nach dem Gesagten kann im Falle des Beschwerdeführers aufgrund seiner Anerkennung als (vorläufig aufgenommener) Flüchtling sowie angesichts der Tatsache, dass eine Aufhebung seines rechtlichen Status in absehbarer Zukunft nicht anzunehmen ist, ein faktisches Aufenthaltsrecht angenommen werden (vgl. das zur Publikation vorgesehene Grundsatzurteil F-2043/2015 vom 26. Juli 2017 E. 6.4). Die EMRK verschafft allerdings kein absolutes Recht auf Anwesenheit. Vielmehr erweist sich eine aufenthaltsbeendende oder -verweigernde Massnahme, welche im Schutz- und Anwendungsbereich von Art. 8 EMRK liegt, gemäss Bundesgericht als zulässig, falls sie gesetzlich vorgesehen ist, einem legitimen Zweck im Sinn von Art. 8 Abs. 2 EMRK entspricht und zu dessen Realisierung in einer demokratischen Gesellschaft "notwendig" erscheint, wobei ein legitimer Zweck unter anderem auch das wirtschaftliche Wohl eines Landes sein kann. In jedem Fall, d.h. sowohl bei positiven wie auch bei negativen staatlichen Massnahmen, muss im Anwendungsbereich von Art. 8 EMRK eine umfassende Interessen- und Rechtsgüterabwägung vorgenommen werden zwischen den widerstreitenden Interessen des Einzelnen und jenen der Gemeinschaft. In Fällen, die, wie vorliegend, sowohl das Familienleben als auch die Zuwanderung betreffen, hängt der Umfang der Pflicht, ausländische Familienmitglieder auf dem Staatsgebiet zu dulden bzw. ihnen den Aufenthalt ermöglichen zu müssen, jeweils von den Umständen des Einzelfalls ab. Dabei ist eine Gesamtbetrachtung vorzunehmen. Zu berücksichtigen sind einerseits insbesondere der Grad der konkreten Beeinträchtigung des Familienlebens, der Umstand, ob und wieweit dieses in zumutbarer Weise im Heimatstaat oder allenfalls in einem Drittstaat gelebt werden kann sowie die Natur der Bindungen zum und im Aufenthaltsstaat. Von wesentlicher Bedeutung ist zudem, ob Gründe der Migrationsregulierung,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(vgl. zum Ganzen BGE 139 I 330 E. 2.2 f.; 135 I 143, jeweils mit Hinweisen).</w:t>
      </w:r>
    </w:p>
    <w:p>
      <w:r>
        <w:rPr>
          <w:b/>
        </w:rPr>
        <w:t>E. 4.4.4</w:t>
      </w:r>
    </w:p>
    <w:p>
      <w:r>
        <w:t>Zusammenfassend lässt sich weder aus der FK noch aus Art. 8 EMRK ein absolutes Recht auf Einreise oder auf Aufenthaltsbewilligung ableiten. Die in Art. 85 Abs. 7 AuG genannten Voraussetzungen für einen Familiennachzug sind in Beachtung der Rechtsprechung des Bundesgerichts und des EGMR nicht per se als völkerrechtswidrig zu bewerten (vgl. das Grundsatzurteil F-2043/2015 E. 7.1 ff.). Vielmehr muss im Anwendungsbereich von Art. 8 EMRK eine Interessenabwägung erfolgen.</w:t>
      </w:r>
    </w:p>
    <w:p>
      <w:r>
        <w:rPr>
          <w:b/>
        </w:rPr>
        <w:t>E. 5.1</w:t>
      </w:r>
    </w:p>
    <w:p>
      <w:r>
        <w:t>Der Beschwerdeführer reiste am 18. November 2010 in die Schweiz ein, und bereits wenige Tage später, am 22. Dezember 2010, verfügte das BFM die vorläufige Aufnahme des Beschwerdeführers in der Schweiz, obwohl es die geltend gemachte Verfolgungssituation in der Autonomen Region Tibet gleichermassen wie die Schilderung des Reisewegs als vollumfänglich unglaubhaft erachtete. Seither befindet sich der Beschwerdeführer, der sich nach dem Gesagten aus eigenem Antrieb von Ehefrau und Kindern trennte, als vorläufig aufgenommener Flüchtling in der Schweiz, also etwa seit sechs Jahren. Gemessen an seiner Aufenthaltsdauer ist er den Akten zufolge beruflich nicht überdurchschnittlich in der Schweiz integriert, sondern arbeitet seit etwa zweieinhalb Jahren als Pflegemitarbeiter in einem Alters- und Pflegeheim. Zudem macht er selber keine konkreten vertieften sozialen Beziehungen im ausserfamiliären Bereich geltend, weshalb davon auszugehen ist, dass derlei Beziehungen nicht bestehen. Seitens der Ehefrau ist davon auszugehen, dass diese - abgesehen von der Beziehung zu ihrem Ehemann - noch über keinerlei Bindung zur Schweiz verfügt. Hinzu kommt, dass sie sich angeblich erst seit dem 1. Januar 2014 in Indien aufhält, eine (unsubstanziierte) Behauptung, die - vom Zeitpunkt her - wenig plausibel erscheint, zumal eine Flucht über die zu bewältigenden hohen Pässe schon im Sommer auch für erwachsene Tibeter als lebensgefährlich gilt, und dies nicht nur im Hinblick auf das Wetter. Danach wäre mit den Risiken eines Aufenthalts in Nepal zu rechnen, zumal Aufgriffe und Rücküberstellungen von geflüchteten Tibetern von Nepal in die Autonome Region Tibet dokumentiert sind. Eine gewisse Sicherheit geniessen tibetische Flüchtlinge erst in Indien. Nach dem Gesagten erweist sich der geltend gemachte Aufenthalt in Indien seit dem 1. Januar 2014, wie er im Schreiben des Tibet Office in Dharamsala (vgl. B7/17) bestätigt wird, als alternatives Faktum und das entsprechende Dokument als Gefälligkeitsschreiben ohne jeden Beweiswert. Der geltend gemachte Aufenthalt der Ehefrau seit 1. Januar 2014 in Indien passt aber bestens zu den Vorbringen des Beschwerdeführers (anlässlich der Befragung vom 6. Dezember 2010 zur Person), wonach er nie eine Schule besucht habe und kein Wort Chinesisch spreche, Behauptungen, die in Wirklichkeit eher nicht auf eine Herkunft aus der Autonomen Republik Tibet schliessen lassen. Es drängt sich angesichts der Ungereimtheiten vielmehr der Eindruck auf, dass sich die Familie, mit Einschluss des Beschwerdeführers und wesentlich längere Zeit als eingestanden, in Indien aufgehalten hat. Auf jeden Fall könnte der Beschwerdeführer das Familienleben alternativ in Indien aufnehmen, unabhängig davon, ob er sich - wie vermutet - bereits vorher dort aufgehalten hat oder nicht. Nach Erkenntnissen des Bundesverwaltungsgerichts werden nämlich Tibeter nicht mit Wegweisung bedroht, und es kann grundsätzlich von einem effektiven Schutz vor Rückschiebung in Indien gesprochen werden (vgl. BVGE 2014/12 E. 573 S. 210). Seine in Indien lebenden Familienangehörigen dokumentieren - bei Wahrunterstellung seiner Vorbringen - diesen Umstand durch ihren bereits über dreijährigen Aufenthalt in Indien zur Genüge. Im Übrigen verletzt der nicht gewährte Familiennachzug weder Art. 2 noch Art. 9 oder Art. 10 KRK. Ein gerichtlich durchsetzbarer Anspruch auf Familienzusammenführung lässt sich aus den eingangs genannten Bestimmungen nicht ableiten (vgl. BGE 140 I 145 E. 3.2, BGE 139 I 315 E. 2.4 oder BGE 126 II 377 E. 5d). Im Übrigen hat die Schweiz gerade im Hinblick auf die Gesetzgebung über die Familienzusammenführung einen Vorbehalt zu Art. 10 Abs. 1 KRK angebracht (siehe dazu BGE 124 II 361 E. 3b m.H.). Ebenfalls keine direkten Rechtsansprüche vermitteln Art. 11 BV (so explizit BGE 126 II 377 E. 5d) und Art. 19 BV.</w:t>
      </w:r>
    </w:p>
    <w:p>
      <w:r>
        <w:rPr>
          <w:b/>
        </w:rPr>
        <w:t>E. 5.2</w:t>
      </w:r>
    </w:p>
    <w:p>
      <w:r>
        <w:t>Eine Gesamtwürdigung führt auf der einen Seite zu einem gewichtigen öffentlichen Interesse, vorab wirtschaftlicher Natur, an einer Verweigerung des Familiennachzugs, zumal ohne Weiteres davon auszugehen ist, dass der öffentlichen Hand durch eine Bewilligung des Familiennachzugs Kosten entstehen würden und die Gefahr einer erheblichen Fürsorgeabhängigkeit bestünde (vgl. BGE 139 I 330 E. 4.1 f.). Auf der anderen Seite lässt eine Gesamtschau der privaten Interessen keine Gründe erkennen, die dieses erhebliche öffentliche Interesse aufzuwiegen vermöchten, zumal nicht ersichtlich ist, inwiefern es dem Beschwerdeführer und seiner Ehefrau auf unabsehbare Zeit verunmöglicht wäre, ihre Familieneinheit in Indien zu leben.</w:t>
      </w:r>
    </w:p>
    <w:p>
      <w:r>
        <w:rPr>
          <w:b/>
        </w:rPr>
        <w:t>E. 6</w:t>
      </w:r>
    </w:p>
    <w:p>
      <w:r>
        <w:t>Nach dem Gesagten erweist sich die Verweigerung des Familiennachzugs gestützt auf Art. 85 Abs. 7 AuG vorliegend als rechtmässig. Es gelingt dem Beschwerdeführer nicht darzutun, inwiefern die vorinstanzliche Verfügung Bundesrecht verletzt, den rechtserheblichen Sachverhalt unrichtig oder unvollständig feststellt oder unangemessen ist (Art. 49 VwVG). Die Beschwerde ist folglich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29. Januar 2016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