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F-4047/2016 vom 8. Oktober 2018</w:t>
      </w:r>
    </w:p>
    <w:p>
      <w:r>
        <w:t>Bundesverwaltungsgericht, 2018-10-08, DE</w:t>
      </w:r>
    </w:p>
    <w:p>
      <w:r>
        <w:rPr>
          <w:b/>
        </w:rPr>
        <w:t xml:space="preserve">Quelle: </w:t>
      </w:r>
      <w:r>
        <w:t>https://mcp.opencaselaw.ch/entscheid/bvger_F-4047_2016</w:t>
      </w:r>
    </w:p>
    <w:p>
      <w:r>
        <w:t>FR: TAF F-4047/2016 du 8 octobre 2018</w:t>
      </w:r>
    </w:p>
    <w:p>
      <w:r>
        <w:t>IT: TAF F-4047/2016 del 8 ottobre 2018</w:t>
      </w:r>
    </w:p>
    <w:p>
      <w:pPr>
        <w:pStyle w:val="Heading2"/>
      </w:pPr>
      <w:r>
        <w:t>Regeste</w:t>
      </w:r>
    </w:p>
    <w:p>
      <w:r>
        <w:t>Erteilung der vorläufigen Aufnahme</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unter anderem Verfügungen des SEM betreffend die vorläufige Aufnahme gemäss Art. 83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Wie aus dem Sachverhalt hervorgeht, wurde der Beschwerdeführer rechtskräftig aus der Schweiz weggewiesen (vgl. Bst. C vorstehend). Gegenstand des vorliegenden Verfahrens bildet damit einzig die Frage, ob die Wegweisung zu vollziehen ist oder ob anstelle des Vollzugs - wie von der kantonalen Behörde beantragt (Art. 83 Abs. 6 AuG) - eine vorläufige Aufnahme anzuordnen ist.</w:t>
      </w:r>
    </w:p>
    <w:p>
      <w:r>
        <w:rPr>
          <w:b/>
        </w:rPr>
        <w:t>E. 3.2</w:t>
      </w:r>
    </w:p>
    <w:p>
      <w:r>
        <w:t>Ist der Vollzug der Wegweisung nicht möglich, nicht zulässig oder nicht zumutbar, so regelt das Staatssekretariat das Anwesenheitsverhältnis nach den Bestimmungen der vorläufigen Aufnahme (Art. 83 Abs. 1 AuG).</w:t>
      </w:r>
    </w:p>
    <w:p>
      <w:r>
        <w:rPr>
          <w:b/>
        </w:rPr>
        <w:t>E. 3.3</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eine Land gezwungen werden, in dem ihr Leib, ihr Leben oder ihre Freiheit aus einem Grund nach Art. 3 Abs. 1 AsylG gefährdet ist oder in dem sie Gafahr läuft, zur Ausreise in eine solches Land gezwungen zu werden (Art. 5 Abs. 1 AsylG, vgl. ebenso Art. 33 Abs. 1 des Abkommens vom 28. Juli 1951 über die Rechtstellung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sein.</w:t>
      </w:r>
    </w:p>
    <w:p>
      <w:r>
        <w:rPr>
          <w:b/>
        </w:rPr>
        <w:t>E. 3.4.2</w:t>
      </w:r>
    </w:p>
    <w:p>
      <w:r>
        <w:t>Die Vorinstanz wies in der angefochtenen Verfügung zutreffend darauf hin, dass das Prinzip des flüchtlingsrechtlichen Non-Refoulement nur Personen schützt, die die Flüchtlingseigenschaft erfüllen. Da der Beschwerdeführer die Flüchtlingseigenschaft nicht erfüllt (vgl. Urteil des BVGer D-5677/2007 vom 9. Juni 2010), kann der in Art. 5 AsylG verankerte Grundsatz der Nichtrückschiebung vorliegend keine Anwendung finden. Sodann ergeben sich weder aus den Vorbringen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Eine ihm allfällig drohende konkrete Gefahr konnte der Beschwerdeführer nicht glaubhaft machen bzw. eine konkrete Gefahr wurde diesbezüglich gar nicht geltend gemacht. Auch die allgemeine Menschenrechtssituation in der KRG-Region lässt den Wegweisungsvollzug zum heutigen Zeitpunkt nicht als unzulässig erscheinen (vgl. Urteil E-3737/2015 vom 14. Dezember 2015 E. 6.3 [als Referenzurteil publiziert], u.a. bestätigt im Urteil E-882/2018 vom 15. August 2018 E. 8.4.4). Nach dem Gesagten ist der Vollzug der Wegweisung zulässig.</w:t>
      </w:r>
    </w:p>
    <w:p>
      <w:r>
        <w:rPr>
          <w:b/>
        </w:rPr>
        <w:t>E. 3.5.1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3.5.2</w:t>
      </w:r>
    </w:p>
    <w:p>
      <w:r>
        <w:t>Wie bereits erwähnt, hat das Bundesverwaltungsgericht im Urteil E-3737/2015 vom 14. Dezember 2015 die Lage im Nordirak und die Zumutbarkeitspraxis überprüft und festgestellt,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D-7841/2016 vom 6. September 2017 E. 7.5, D-3994/2016 vom 22. August 2017 E. 6.3.3 und D-233/2017 vom 9. März 2017 E. 10.6).</w:t>
      </w:r>
    </w:p>
    <w:p>
      <w:r>
        <w:rPr>
          <w:b/>
        </w:rPr>
        <w:t>E. 3.5.3</w:t>
      </w:r>
    </w:p>
    <w:p>
      <w:r>
        <w:t>Der Beschwerdeführer ist noch jung, gesund, ohne familiäre Verpflichtungen und hat den grössten Teil seines Lebens im Irak verbracht. Aus den Asylakten ergibt sich zudem, dass er in seiner Heimat über ein familiäres Beziehungsnetz verfügt. Zumindest mit einem seiner Brüder steht er nach wie vor in Kontakt (vgl. sein bei der Vorinstanz gestelltes Gesuch vom 20. Mai 2018 um Ausstellung eines Passes für eine ausländische Person). Bereits vor seiner Ausreise war er im Irak beruflich tätig und betrieb einen Coiffeursalon. Es ist ihm deshalb zuzumuten, sich nach seiner Rückkehr in den Nordirak wieder entsprechend zu betätigen, um sich seinen Lebensunterhalt zu sichern. Zwar hält der Beschwerdeführer sich inzwischen über elf Jahre in der Schweiz auf und ist Geschäftsführer und Inhaber eines Barbershops. Sein bis Mitte Januar 2014 dauernder Aufenthalt beruhte jedoch ausschliesslich auf zwei erfolglosen Asylverfahren, und er berief sich nachher in rechtsmissbräuchlicher Weise auf eine eheliche Gemeinschaft, die bereits ab Februar 2014 nicht mehr gelebt wurde (vgl. Entscheid der Sicherheitsdirektion des Kantons Zürich vom 10. Dezember 2015 E. 5 b). Abgesehen davon, dass es bei der Beurteilung des Wegweisungsvollzuges in erster Linie um die Situation in der Heimat des betroffenen Ausländers und nicht um die hier verbrachte Zeit geht (anders bei der Beurteilung eines schwerwiegenden persönlichen Härtefalls in einem Aufenthaltsbewilligungsverfahren; vgl. dazu Urteil des BVGer C-188/2014 vom 15. März 2016 E. 5.4), kann im Übrigen trotz seiner langjährigen beruflichen Tätigkeit in der Schweiz nicht von einer erfolgreichen Integration gesprochen werden. So wurde er u.a. am 29. Februar 2012 wegen Erwerbstätigkeit ohne Bewilligung zu einer bedingten Geldstrafe (45 Tagessätze zu Fr. 30.-) verurteilt. Ebenfalls wegen Erwerbstätigkeit ohne Bewilligung verurteilte ihn das Bezirksgerichts Zürich am 19. April 2013 zu einer Geldstrafe (60 Tagessätze zu Fr. 20.-). Am 4. April 2016 wurde er wegen grober Verletzung der Verkehrsregeln zu einer Geldstrafe von 15 Tagessätzen zu Fr. 150.- verurteilt. Wegen fahrlässiger Beschäftigung eines Ausländers ohne Bewilligung wurde der Beschwerdeführer mit Strafbefehl vom 20. Juni 2018 schliesslich mit einer Busse von Fr. 200.- bestraft. In Berücksichtigung der gesamten Umstände erweist sich der Vollzug der Wegweisung folglich als zumutbar.</w:t>
      </w:r>
    </w:p>
    <w:p>
      <w:r>
        <w:rPr>
          <w:b/>
        </w:rPr>
        <w:t>E. 3.6</w:t>
      </w:r>
    </w:p>
    <w:p>
      <w:r>
        <w:t>Schliesslich obliegt es dem Beschwerdeführer, sich bei der zuständigen Vertretung des Heimatstaates die für eine Rückkehr notendigen Reisedokumente zu beschaffen (vgl. BVGE 2008/34 E. 12), weshalb der Vollzug der Wegweisung auch als möglich zu bezeichnen ist (Art. 83 Abs. 2 AuG).</w:t>
      </w:r>
    </w:p>
    <w:p>
      <w:r>
        <w:rPr>
          <w:b/>
        </w:rPr>
        <w:t>E. 3.7</w:t>
      </w:r>
    </w:p>
    <w:p>
      <w:r>
        <w:t>Zusammenfassend erweist sich der Wegweisungsvollzug als zulässig, zumutbar und möglich. Eine Anordnung der vorläufigen Aufnahme fällt demnach ausser Betracht (Art. 83 Abs. 1-4 AuG).</w:t>
      </w:r>
    </w:p>
    <w:p>
      <w:r>
        <w:rPr>
          <w:b/>
        </w:rPr>
        <w:t>E. 4</w:t>
      </w:r>
    </w:p>
    <w:p>
      <w:r>
        <w:t>Aus diesen Erwägungen ergibt sich, dass die angefochtene Verfügung Bundesrecht nicht verletzt (Art. 49 VwVG). Die Beschwerde ist daher abzuweisen.</w:t>
      </w:r>
    </w:p>
    <w:p>
      <w:r>
        <w:rPr>
          <w:b/>
        </w:rPr>
        <w:t>E. 5</w:t>
      </w:r>
    </w:p>
    <w:p>
      <w:r>
        <w:t>Bei diesem Ausgang des Verfahrens sind die Kosten des Verfahrens dem Beschwerdeführer aufzuerlegen vgl. Art. 63 Abs. 1 VwVG i.V.m. Art. 1 ff.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