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F-4033/2017 vom 12. März 2018</w:t>
      </w:r>
    </w:p>
    <w:p>
      <w:r>
        <w:t>Bundesverwaltungsgericht, 2018-03-12, DE</w:t>
      </w:r>
    </w:p>
    <w:p>
      <w:r>
        <w:rPr>
          <w:b/>
        </w:rPr>
        <w:t xml:space="preserve">Quelle: </w:t>
      </w:r>
      <w:r>
        <w:t>https://mcp.opencaselaw.ch/entscheid/bvger_F-4033_2017</w:t>
      </w:r>
    </w:p>
    <w:p>
      <w:r>
        <w:t>FR: TAF F-4033/2017 du 12 mars 2018</w:t>
      </w:r>
    </w:p>
    <w:p>
      <w:r>
        <w:t>IT: TAF F-4033/2017 del 12 marzo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kosovarischen Staatsangehörigen um Erteilung eines Visums für einen 90-tägigen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4.2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4.3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4.5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Im Kosovo erweist sich die wirtschaftliche Lage auch Jahre nach Anerkennung der Unabhängigkeit als schwierig. Die Arbeitslosigkeit im Jahr 2016 lag offiziell bei über 27.5% (Frauen 31.8%, Männer 26.2%; bei Jugendlichen zwischen 15 und 24 Jahren 52.4%), wobei diese Angaben aufgrund des in der Statistik schlecht erfassten informellen Sektors zu relativieren sind. Das Pro-Kopf-Einkommen lag 2016 nach Angaben der kosovarischen Regierung bei 3'339 Euro, womit der Kosovo nicht nur als eines der ärmsten Länder Europas, sondern auch als das ärmste Land auf dem Balkan gilt. Zuverlässige Angaben über die Höhe der Transferleistungen aus dem Ausland fehlen jedoch. Diese Überweisungen - sie fliessen vor allem in den privaten Konsum - stellen jedenfalls eine wichtige Einkommensquelle und damit einen bedeutenden Wirtschaftsfaktor dar (Quelle: www.auswaertiges-amt.de Aussen- und Europapolitik Länderinformationen Kosovo Wirtschaftspolitik, Stand: Oktober 2017, abgerufen im Februar 2018).</w:t>
      </w:r>
    </w:p>
    <w:p>
      <w:r>
        <w:rPr>
          <w:b/>
        </w:rPr>
        <w:t>E. 5.4</w:t>
      </w:r>
    </w:p>
    <w:p>
      <w:r>
        <w:t>Die Schweiz gilt aufgrund der grossen, hier ansässigen Diaspora als eines der beliebtesten Zielländer für Emigranten aus dem Kosovo. Die Tendenz zur Immigration wird erfahrungsgemäss dort noch begünstigt, wo durch die Anwesenheit von Verwandten oder Freunden bereits ein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w:t>
      </w:r>
    </w:p>
    <w:p>
      <w:r>
        <w:rPr>
          <w:b/>
        </w:rPr>
        <w:t>E. 5.5</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 der Gesuchstellerin - sei sie nun die Cousine des Beschwerdeführers (vgl. die amtlich beglaubigten Garantieerklärungen vom 9. März 2017 bzw. 4. Mai 2017) oder seiner Ehefrau (vgl. den am 12. Juni 2017 ausgefüllten kantonalen Fragebogen) - handelt es sich um eine mittlerweile 47-jährige, ledige und kinderlose Frau. Hinsichtlich ihrer persönlichen Lebensumstände im Kosovo ist nur wenig bekannt. Gemäss einer im erstinstanzlichen Verfahren edierten Wohnsitzbestätigung vom 6. Februar 2017 (SEM act. 3 S. 22) soll sie in K._______, einer kleinen Ortschaft im Zentrum Kosovos, in Hausgemeinschaft mit ihrer Mutter sowie zwei jüngeren Brüdern leben. Irgendwelche Indizien für das Bestehen eines besonderen Betreuungsbedarfs der angeblich schwer kranken Mutter, der nur durch die Gesuchstellerin selbst abgedeckt werden könnte, sind aus den Akten nicht ersichtlich. Die in diesem Zusammenhang vorgebrachte Behauptung des Beschwerdeführers, die Eingeladene sei die einzige verbliebene Verwandte ihrer Mutter im Kosovo (vgl. Ziff. 14 der Beschwerdeschrift), erweist sich aufgrund der obgenannten, von einer offiziellen Behörde ausgestellten Wohnsitzbestätigung als tatsachenwidrig.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dies etwa in der Hoffnung, die Zurückgebliebenen aus dem Ausland wirtschaftlich effizienter unterstützen zu können.</w:t>
      </w:r>
    </w:p>
    <w:p>
      <w:r>
        <w:rPr>
          <w:b/>
        </w:rPr>
        <w:t>E. 6.2</w:t>
      </w:r>
    </w:p>
    <w:p>
      <w:r>
        <w:t>Entsprechend grosse Bedeutung kommt deshalb den wirtschaftlichen Verhältnissen zu, in denen sich die Gesuchstellerin, bei der es sich um eine gut ausgebildete Akademikerin handeln soll, befindet. Bezüglich ihrer derzeitigen beruflichen Tätigkeit gab die Eingeladene bereits in ihrem ersten Visumsgesuch vom 8. Februar 2017 an, sie sei arbeitslos, was sie im aktuellen Einreisegesuch vom 30. März 2017 bestätigte (je Ziff. 19). Entsprechend hielt die Schweizerische Botschaft in ihrer Stellungnahme vom 31. März 2017 gegenüber der Vorinstanz fest, die Gesuchstellerin gehe keiner Erwerbstätigkeit nach. Demgegenüber wies der Beschwerdeführer in seiner Einsprache an die Vorinstanz vom 4. Mai 2017 darauf hin, die Eingeladene arbeite in Pristina, um gegenüber der kantonalen Migrationsbehörde zu präzisieren, die Gesuchstellerin sei als Sachbearbeiterin und Assistentin der Verwaltung bei der Firma "X._______" in 13000 Drenas/Kosovo tätig. Zur Untermauerung dieses Vorbringens reichte er eine undatierte Arbeitsbestätigung der besagten Firma in Kopie zu den Akten. Dieses, vom Beschwerdeführer im Verlaufe des vorinstanzlichen Verfahrens nachgereichte Beweismittel steht einerseits in klarem Widerspruch zu den ursprünglichen Angaben der Gesuchstellerin, die sich wiederholt als arbeitslos bezeichnete. Sollte es sich dabei tatsächlich um eine Kopie eines echten Dokumentes und nicht um ein Gefälligkeitsschreiben handeln, ist andererseits nicht nachvollziehbar, wieso ein allenfalls bestehender Arbeitsvertrag von der Eingeladenen nicht bereits anlässlich ihrer Gesuchseinreichung vorgelegt oder zumindest erwähnt wurde. Von einer starken Verwurzelung im Berufsleben, welche die Gesuchstellerin verlässlich von einer Emigration abzuhalten vermöchte, kann aufgrund der derzeitigen Aktenlage jedenfalls nicht ausgegangen werden. Dies gilt umso weniger, als der Beschwerdeführer in beiden Garantieerklärungen (vgl. SEM act. 1 S. 3 und 4) sowie gegenüber der kantonalen Migrationsbehörde (vgl. SEM act. 4 S. 71) stets betonte, es sei ein dreimonatiger Besuchsaufenthalt vorgesehen; einen solchen beantragte er denn auch explizit in seiner Beschwerde.</w:t>
      </w:r>
    </w:p>
    <w:p>
      <w:r>
        <w:rPr>
          <w:b/>
        </w:rPr>
        <w:t>E. 6.3</w:t>
      </w:r>
    </w:p>
    <w:p>
      <w:r>
        <w:t>Im Weiteren gilt es ohnehin die Beteuerungen des Beschwerdeführers, die Eingeladene werde anstandslos und fristgerecht nach ihrem Besuchsaufenthalt in der Schweiz in ihr Heimatland zurückkehren, zu relativieren. Als Garant wies er nämlich in seiner Einsprache vom 4. Mai 2017 gegenüber der Vorinstanz ausdrücklich darauf hin, er und seine Familienmitglieder hätten in der Schweiz "nie gegen das Gesetz verstossen". Zudem verneinte er in seiner Stellungnahme an das Migrationsamt des Kantons St. Gallen vom 12. Juni 2017 die Frage, schon einmal Gäste rechtswidrig (ohne gültige Bewilligung) beherbergt zu haben (vgl. SEM act. 4 S. 70), um in der Beschwerde ausdrücklich auf seine ausführliche und wahrheitsgetreue Berichterstattung an die kantonale Migrationsbehörde zu verweisen (Ziff. 16 der Beschwerdeschrift). Demgegenüber befindet sich in den beigezogenen kantonalen Akten ein (rechtskräftiger) Strafbefehl vom 10. August 2015. Aus diesem geht hervor, dass der Beschwerdeführer vom Untersuchungsamt Uznach wegen Verletzung fremdenpolizeilicher Vorschriften zu einer Geldstrafe von 50 Tagessätzen zu je Fr. 30.-, bedingt aufgeschoben bei einer Probezeit von zwei Jahren, verurteilt wurde. Ihm wurde dabei vorgeworfen, einem Verwandten aus Mazedonien den rechtswidrigen Aufenthalt in der Schweiz erleichtert zu haben, indem er diesen mindestens für drei Wochen in seiner Autogarage in Y._______ in einem Zimmer logieren und diesen zudem ohne gültige Arbeitsbewilligung sporadisch in seiner Garage arbeiten liess.</w:t>
      </w:r>
    </w:p>
    <w:p>
      <w:r>
        <w:rPr>
          <w:b/>
        </w:rPr>
        <w:t>E. 6.4</w:t>
      </w:r>
    </w:p>
    <w:p>
      <w:r>
        <w:t>Vor dem dargelegten allgemeinen und persönlichen Hintergrund - und nicht zuletzt aufgrund der aufgezeigten Ungereimtheiten - durfte die Vor-instanz willkürfrei davon ausgehen, die Wiederausreise der Eingeladenen könne im Sinne der massgeblichen Bestimmungen nicht als gesichert betrachtet werden. Als Niedergelassenen steht dem Beschwerdeführer und seiner Ehefrau jederzeit die Möglichkeit offen, die Gesuchstellerin in deren Heimatland zu besuchen.</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auch nicht ersichtlich.</w:t>
      </w:r>
    </w:p>
    <w:p>
      <w:r>
        <w:rPr>
          <w:b/>
        </w:rPr>
        <w:t>E. 7</w:t>
      </w:r>
    </w:p>
    <w:p>
      <w:r>
        <w:t>Aus vorstehenden Erwägungen folgt, dass die angefochtene Verfügung Bundesrecht nicht verletzt. Der rechtserhebliche Sachverhalt wurde richtig und vollständig festgestellt, und die Vorinstanz hat das ihr zustehende Ermessen pflichtgemäss und zutreffend gehandhabt (Art. 49 VwVG), weshalb es sich erübrigt, die Angelegenheit im Sinne des Eventualantrags dem SEM zur Neubeurteilung zurückzuweisen. Die Beschwerde ist demzufolge vollumfänglich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