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F-402/2024 vom 9. Januar 2024</w:t>
      </w:r>
    </w:p>
    <w:p>
      <w:r>
        <w:t>Bundesverwaltungsgericht, 2024-01-09, DE</w:t>
      </w:r>
    </w:p>
    <w:p>
      <w:r>
        <w:rPr>
          <w:b/>
        </w:rPr>
        <w:t xml:space="preserve">Quelle: </w:t>
      </w:r>
      <w:r>
        <w:t>https://mcp.opencaselaw.ch/entscheid/bvger_F-402_2024_d20240109</w:t>
      </w:r>
    </w:p>
    <w:p>
      <w:r>
        <w:t>FR: TAF F-402/2024 du 9 janvier 2024</w:t>
      </w:r>
    </w:p>
    <w:p>
      <w:r>
        <w:t>IT: TAF F-402/2024 del 9 gennaio 2024</w:t>
      </w:r>
    </w:p>
    <w:p>
      <w:pPr>
        <w:pStyle w:val="Heading2"/>
      </w:pPr>
      <w:r>
        <w:t>Regeste</w:t>
      </w:r>
    </w:p>
    <w:p>
      <w:r>
        <w:t>Einreiseverbot | Wiedererwägung Abschreibungsentscheid F-7061/2023 vom 9. Januar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 das Revisionsgesuch wird nicht eingetreten.</w:t>
      </w:r>
    </w:p>
    <w:p>
      <w:r>
        <w:rPr>
          <w:b/>
        </w:rPr>
        <w:t>E. 2</w:t>
      </w:r>
    </w:p>
    <w:p>
      <w:r>
        <w:t>Die Verfahrenskosten von Fr. 250.- werden dem Beschwerdeführer auferlegt. Dieser Betrag ist innerhalb von 30 Tagen nach Versand des vorliegenden Urteils zu Gunsten der Gerichtskasse zu überweisen.</w:t>
      </w:r>
    </w:p>
    <w:p>
      <w:r>
        <w:rPr>
          <w:b/>
        </w:rPr>
        <w:t>E. 3</w:t>
      </w:r>
    </w:p>
    <w:p>
      <w:r>
        <w:t>Dieser Entscheid geht an den Beschwerdeführer und die Vorinstanz. Der vorsitzende Richter: Der Gerichtsschreiber: Gregor Chatton Matiu Dermont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