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F-402/2024 vom 12. Februar 2024</w:t>
      </w:r>
    </w:p>
    <w:p>
      <w:r>
        <w:t>Bundesverwaltungsgericht, 2024-02-12, DE</w:t>
      </w:r>
    </w:p>
    <w:p>
      <w:r>
        <w:rPr>
          <w:b/>
        </w:rPr>
        <w:t xml:space="preserve">Quelle: </w:t>
      </w:r>
      <w:r>
        <w:t>https://mcp.opencaselaw.ch/entscheid/bvger_F-402_2024</w:t>
      </w:r>
    </w:p>
    <w:p>
      <w:r>
        <w:t>FR: TAF F-402/2024 du 12 février 2024</w:t>
      </w:r>
    </w:p>
    <w:p>
      <w:r>
        <w:t>IT: TAF F-402/2024 del 12 febbraio 2024</w:t>
      </w:r>
    </w:p>
    <w:p>
      <w:pPr>
        <w:pStyle w:val="Heading2"/>
      </w:pPr>
      <w:r>
        <w:t>Regeste</w:t>
      </w:r>
    </w:p>
    <w:p>
      <w:r>
        <w:t>Einreiseverbot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Die Verfahrenskosten von Fr. 250.- werden dem Beschwerdeführer auferlegt. Dieser Betrag ist innerhalb von 30 Tagen nach Versand des vorliegenden Urteils zu Gunsten der Gerichtskasse zu überweisen.</w:t>
      </w:r>
    </w:p>
    <w:p>
      <w:r>
        <w:rPr>
          <w:b/>
        </w:rPr>
        <w:t>E. 3</w:t>
      </w:r>
    </w:p>
    <w:p>
      <w:r>
        <w:t>Dieser Entscheid geht an den Beschwerdeführer und die Vorinstanz. Der vorsitzende Richter: Der Gerichtsschreiber: Gregor Chatton Matiu Dermont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