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F-4025/2017 vom 1. Oktober 2018</w:t>
      </w:r>
    </w:p>
    <w:p>
      <w:r>
        <w:t>Bundesverwaltungsgericht, 2018-10-01, DE</w:t>
      </w:r>
    </w:p>
    <w:p>
      <w:r>
        <w:rPr>
          <w:b/>
        </w:rPr>
        <w:t xml:space="preserve">Quelle: </w:t>
      </w:r>
      <w:r>
        <w:t>https://mcp.opencaselaw.ch/entscheid/bvger_F-4025_2017</w:t>
      </w:r>
    </w:p>
    <w:p>
      <w:r>
        <w:t>FR: TAF F-4025/2017 du 1 octobre 2018</w:t>
      </w:r>
    </w:p>
    <w:p>
      <w:r>
        <w:t>IT: TAF F-4025/2017 del 1 ottobre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der Vorinstanz, die gestützt auf Art. 67 AuG ein Einreiseverbot zum Gegenstand haben (Art. 31 ff. VGG, Art. 112 Abs. 1 AuG).</w:t>
      </w:r>
    </w:p>
    <w:p>
      <w:r>
        <w:rPr>
          <w:b/>
        </w:rPr>
        <w:t>E. 1.2</w:t>
      </w:r>
    </w:p>
    <w:p>
      <w:r>
        <w:t>Das Rechtsmittelverfahren vor dem Bundesverwaltungsgericht richtet sich nach dem VwVG, soweit das VGG nichts anderes bestimmt (Art. 37 VGG i.V.m. Art. 112 Abs. 1 AuG).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der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Das SEM verfügt Einreiseverbote gegenüber weggewiesenen Ausländerinnen und Ausländern, wenn die Wegweisung nach Art. 64d Abs. 2 Bst. a-c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stellt keine Sanktion für vergangenes Verhalten dar,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Urteil des BVGer C-5068/2015 vom 26. April 2016 E. 3.2; siehe auch F-5525/2016 vom 14. Dezember 2017 E. 5.2; F-3533/2016 vom 31. Mai 2017 E. 3.2; je m.H.).</w:t>
      </w:r>
    </w:p>
    <w:p>
      <w:r>
        <w:rPr>
          <w:b/>
        </w:rPr>
        <w:t>E. 4.1</w:t>
      </w:r>
    </w:p>
    <w:p>
      <w:r>
        <w:t>Der Beschwerdeführer macht in seiner Beschwerdeschrift geltend, er sei innerhalb der ihm gesetzten Frist ausgereist, weshalb Art. 67 Abs. 1 Bst. b AuG nicht zur Anwendung gelangen könne. Das Einreiseverbot sei deshalb aufzuheben (BVGer-act. 1).</w:t>
      </w:r>
    </w:p>
    <w:p>
      <w:r>
        <w:rPr>
          <w:b/>
        </w:rPr>
        <w:t>E. 4.2</w:t>
      </w:r>
    </w:p>
    <w:p>
      <w:r>
        <w:t>Die Vorinstanz hat das gegen den Beschwerdeführer verhängte Einreiseverbot in der Verfügung vom 29. Juni 2017 mit dem Festhalten an einer rechtsmissbräuchlichen Ehe zwecks Verbleibs in der Schweiz und dem damit einhergehenden Entzug der Niederlassungsbewilligung begründet. Zudem sei die Ausreise nicht fristgerecht erfolgt, weshalb eine Fernhaltemassnahme anzuordnen sei. In ihrer Vernehmlassung präzisierte sie, Grund für die Fernhaltemassnahme sei das Eingehen einer rechtsmissbräuchlichen Ehe. Damit räumt sie implizit ein, dass Art. 67 Abs. 1 Bst. b AuG als Grundlage für die Anordnung einer Fernhaltemassnahme ausser Betracht fällt.</w:t>
      </w:r>
    </w:p>
    <w:p>
      <w:r>
        <w:rPr>
          <w:b/>
        </w:rPr>
        <w:t>E. 5</w:t>
      </w:r>
    </w:p>
    <w:p>
      <w:r>
        <w:t>Zu prüfen bleibt damit, ob ein Verstoss gegen die öffentliche Ordnung und Sicherheit im Sinne von Art. 67 Abs. 2 Bst. a AuG vorliegt.</w:t>
      </w:r>
    </w:p>
    <w:p>
      <w:r>
        <w:rPr>
          <w:b/>
        </w:rPr>
        <w:t>E. 5.1</w:t>
      </w:r>
    </w:p>
    <w:p>
      <w:r>
        <w:t>Von einem Verstoss gegen die öffentliche Ordnung ist nach bundesverwaltungsgerichtlicher Rechtsprechung auszugehen, wenn eine ausländische Person eine Ehe deshalb eingeht beziehungsweise eine gelebte und intakte Ehe vortäuscht, um ausländerrechtliche Bestimmungen zu umgehen (Urteile des BVGer F-3533/2016 vom 31. Mai 2017 E. 4.3; F-4369/2015 vom 18. Oktober 2016 E. 4.4; je m.H.), was im Übrigen auch spezialgesetzlich unter Strafe gestellt ist ("Täuschung der Behörden"; Art. 118 AuG).</w:t>
      </w:r>
    </w:p>
    <w:p>
      <w:r>
        <w:rPr>
          <w:b/>
        </w:rPr>
        <w:t>E. 5.2</w:t>
      </w:r>
    </w:p>
    <w:p>
      <w:r>
        <w:t>Für das Bundesverwaltungsgericht steht - insbesondere unter Verweis auf die ausführlichen und nachvollziehbaren Erwägungen des Urteils des Verwaltungsgerichts des Kantons Zürich vom 21. Dezember 2016 - ausser Frage, dass der Beschwerdeführer mit der Heirat seiner zweiten Ehefrau - der Ex-Frau seines Bruders - die Umgehung ausländerrechtlicher Vorschriften bezweckte, um eine Aufenthaltsbewilligung zu erwirken, ohne aber mit ihr eine wirkliche Lebensgemeinschaft als Ehepaar führen zu wollen. Der Beschwerdeführer macht im Beschwerdeverfahren denn auch nicht geltend, das Eingehen der Ehe mit seiner zweiten Ehefrau sei nicht rechtsmissbräuchlich gewesen.</w:t>
      </w:r>
    </w:p>
    <w:p>
      <w:r>
        <w:rPr>
          <w:b/>
        </w:rPr>
        <w:t>E. 5.3</w:t>
      </w:r>
    </w:p>
    <w:p>
      <w:r>
        <w:t>Mit dem Eingehen der Ehe zur rechtsmissbräuchlichen Erlangung eines Anwesenheitsrechts hat der Beschwerdeführer gegen die öffentliche Ordnung verstossen, womit die Voraussetzungen für den Erlass eines Einreiseverbots gemäss Art. 67 Abs. 2 Bst. a AuG erfüllt sind.</w:t>
      </w:r>
    </w:p>
    <w:p>
      <w:r>
        <w:rPr>
          <w:b/>
        </w:rPr>
        <w:t>E. 6.1</w:t>
      </w:r>
    </w:p>
    <w:p>
      <w:r>
        <w:t>Zu prüfen bleibt, ob die Fernhaltemassnahme in richtiger Ausübung des Ermessens ergangen und angemessen ist. Der Entscheid darüber, ob ein Einreiseverbot anzuordnen und - falls ja - wie es innerhalb des zulässigen zeitlichen Rahmens zu befristen ist, legt Art. 67 Abs. 2 AuG in das pflichtgemässe Ermessen der Behörde. Zu beachten ist dabei insbesondere der Grundsatz der Verhältnismässigkeit (BVGE 2016/33 E. 9.2; 2014/20 E. 8.1; Häfelin/Müller/Uhlmann, vgl. Allgemeines Verwaltungsrecht, 7. Aufl. 2016, Rz. 514 ff.). Erforderlich ist eine einzelfallbezogene Interessenabwägung unter Berücksichtigung sämtlicher wesentlichen Umstände (Art. 5 Abs. 2 BV; Art. 96 AuG). Massgebend sind dabei das öffentliche Interesse an der Fernhaltemassnahme einerseits und die durch sie beeinträchtigten privaten Interessen des Beschwerdeführers andererseits. Ausgangspunkt der Überlegungen bilden die Stellung der verletzten oder gefährdeten Rechtsgüter, die Besonderheiten des ordnungswidrigen Verhaltens und die persönlichen Verhältnisse des Beschwerdeführers (Urteil des BVGer F-3533/2016 vom 31. Mai 2017 E. 5.1).</w:t>
      </w:r>
    </w:p>
    <w:p>
      <w:r>
        <w:rPr>
          <w:b/>
        </w:rPr>
        <w:t>E. 6.2</w:t>
      </w:r>
    </w:p>
    <w:p>
      <w:r>
        <w:t>Der Beschwerdeführer hat durch das Eingehen und die Aufrechterhaltung einer Scheinehe die Ausländerbehörden über Jahre hinweg getäuscht und sich dadurch erhebliche aufenthaltsrechtliche Vorteile verschafft. Solches Fehlverhalten wiegt objektiv schwer. Aus dem von ihm gezeigten Verhalten ist auf eine Gefährdung der öffentlichen Sicherheit und Ordnung zu schliessen, d.h. das Einreiseverbot hat spezialpräventiven Charakter, um weiteren illegalen Handlungen des Beschwerdeführers entgegenzuwirken.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Es besteht somit ein gewichtiges öffentliches Interesse an der Fernhaltung des Beschwerdeführers (vgl. Urteile des BVGer F-3533/2016 E. 5.2 vom 31. Mai 2017; F-4369/2015 vom 18. Oktober 2016 E. 5.2; je m. H.).</w:t>
      </w:r>
    </w:p>
    <w:p>
      <w:r>
        <w:rPr>
          <w:b/>
        </w:rPr>
        <w:t>E. 6.3</w:t>
      </w:r>
    </w:p>
    <w:p>
      <w:r>
        <w:t>Dem öffentlichen Interesse sind die privaten Interessen des Beschwerdeführers gegenüberzustellen. In seiner Beschwerde hält er fest, das Einreiseverbot würde ihm Besuche bei seinen Verwandten und einer Vielzahl von in der Schweiz lebenden Freunden verunmöglichen, die Ausdehnung des Einreiseverbots auf alle Schengen-Staaten stünde zudem auch Besuchen bei seiner in Deutschland wohnhaften Tochter entgegen. Dies stelle einen Eingriff in sein Recht auf Privat- und Familienleben dar.</w:t>
      </w:r>
    </w:p>
    <w:p>
      <w:r>
        <w:rPr>
          <w:b/>
        </w:rPr>
        <w:t>E. 6.4</w:t>
      </w:r>
    </w:p>
    <w:p>
      <w:r>
        <w:t>Die Pflege freundschaftlicher oder verwandtschaftlicher Beziehungen in der Schweiz scheitert nicht an der angefochtenen Verfügung, sondern an der fehlenden Aufenthaltsbewilligung des Beschwerdeführers. Zu prüfen bleibt daher, ob die über die Verweigerung des Aufenthaltsrechts hinausgehende, durch das Einreiseverbot zusätzlich bewirkte Erschwernis vor Art. 8 Ziff. 1 EMRK und Art. 13 Abs. 1 BV standhält, was vorliegend zu bejahen ist. So vermögen die geltend gemachten privaten Interessen des Beschwerdeführers das öffentliche Interesse an dessen Fernhaltung angesichts der eingegangenen rechtsmissbräuchlichen Ehe und des daraus resultierenden Verstosses gegen die öffentliche Ordnung nicht in Frage zu stellen. Zum einen ist die Fernhaltemassnahme nicht als absolutes Einreiseverbot ausgestaltet. Sie stellt die Einreise vielmehr unter den Vorbehalt der Bewilligung. Dem Beschwerdeführer bleibt es freigestellt, aus wichtigen Gründen mittels Gesuch die zeitweilige Suspension der angeordneten Fernhaltemassnahme zu beantragen (Art. 67 Abs. 5 AuG). Aus wichtigen Gründen oder aufgrund internationaler Verpflichtungen können auch die Schengen-Staaten die Einreise in das eigene Hoheitsgebiet gestatten, womit auch ein Besuch der Tochter nicht von Vornherein ausgeschlossen ist (vgl. Art. 14 Abs. 1 i.V.m. Art. 6 Abs. 5 Bst. c der Verordnung [EU] Nr. 2016/399 des Europäischen Parlaments und des Rates vom 9. März 2016 [kodifizierter Text] über einen Gemeinschaftskodex für das Überschreiten der Grenze durch Personen [Schengener Grenzkodex, SGK, ABl. L 77/1 vom 23. März 2016] sowie Art. 25 Abs. 1 Bst. a [ii] der Verordnung [EG] Nr. 810/2009 des Europäischen Parlaments und des Rates vom 13. Juli 2009 über einen Visakodex der Gemeinschaft [Visakodex, ABl. L 243/1 vom 15. September 2009]). Zum anderen ist es dem Beschwerdeführer zumutbar, den Kontakt zu seinen in der Schweiz wohnhaften Familienmitgliedern und Freunden sowie seiner in Deutschland lebenden Tochter während der Gültigkeit des Einreiseverbots auf andere Weise als durch Besuche in der Schweiz oder Deutschland zu pflegen, etwa mittels moderner Kommunikationsmittel oder Treffen ausserhalb der Schengen-Staaten.</w:t>
      </w:r>
    </w:p>
    <w:p>
      <w:r>
        <w:rPr>
          <w:b/>
        </w:rPr>
        <w:t>E. 6.5</w:t>
      </w:r>
    </w:p>
    <w:p>
      <w:r>
        <w:t>In Anbetracht der Interessenabwägung erscheint das mit Verfügung vom 29. Juni 2017 verhängte Einreiseverbot somit sowohl im Grundsatz als auch hinsichtlich der Dauer von drei Jahren als angemessen und verhältnismässig.</w:t>
      </w:r>
    </w:p>
    <w:p>
      <w:r>
        <w:rPr>
          <w:b/>
        </w:rPr>
        <w:t>E. 7.1</w:t>
      </w:r>
    </w:p>
    <w:p>
      <w:r>
        <w:t>Wird - wie vorliegend - gegen eine Person, die nicht die Staatsangehörigkeit eines Mitgliedstaats der Europäischen Union oder der Europäischen Freihandelsassoziation besitzt, ein Einreiseverbot verhängt, wird sie nach Massgabe der Bedeutung des Falles im Schengener Informationssystem (SIS II) zur Einreiseverweigerung ausgeschrieben, womit die Wirkungen der Massnahme auf alle Schengen-Staaten ausgedehnt wird (vgl. Art. 21 und 24 der Verordnung [EG] Nr. 1987/2006 vom 20. Dezember 2006 über die Einrichtung, den Betrieb und die Nutzung des Schengener Informationssystems der zweiten Generation, [SIS-II-Verordnung, ABl. L 381/4 vom 28. Dezember 2006]; Art. 21 der N-SIS-Verordnung vom 8. März 2013 [SR 362.0]; Art. 6 Abs. 1 und Art. 14 Abs. 1 SGK). Voraussetzung der Ausschreibung im SIS II ist eine nationale Ausschreibung, die gestützt auf eine Entscheidung der zuständigen nationalen Instanzen ergeht (Art. 24 Ziff. 1 SIS-II-VO). Die Ausschreibung erfolgt, wenn die nationale Entscheidung mit der Gefahr für die öffentliche Sicherheit und Ordnung oder die nationale Sicherheit begründet wird, welche die Anwesenheit der betreffenden Person in einem Mitgliedstaat darstellt. Insbesondere kann eine Ausschreibung eingegeben werden, wenn die Entscheidung darauf beruht, dass der Drittstaatsangehörige ausgewiesen, zurückgeschoben oder ausgeschafft worden ist (Art. 24 Ziff. 3 erster Teilsatz SIS-II-VO).</w:t>
      </w:r>
    </w:p>
    <w:p>
      <w:r>
        <w:rPr>
          <w:b/>
        </w:rPr>
        <w:t>E. 7.2</w:t>
      </w:r>
    </w:p>
    <w:p>
      <w:r>
        <w:t>Der Beschwerdeführer ist kosovarischer Staatsangehöriger und damit Drittstaatsangehöriger im Sinne von Art. 3 Bst. d SIS-II-VO. Aufgrund der Ausschreibung im SIS II ist es ihm untersagt, den Schengen-Raum zu betreten. In Anbetracht des schweren Verstosses gegen die öffentliche Ordnung durch das Eingehen einer Scheinehe und dem daraus folgenden Entzug der Aufenthaltsberechtigung in der Schweiz ist die Ausschreibung zu Recht erfolgt und verhältnismässig (vgl. Art. 21 i.V.m. Art. 24 Abs. 3 SIS-II-VO). Eine mit der Ausschreibung einhergehende zusätzliche Beeinträchtigung der persönlichen Bewegungsfreiheit hat der Beschwerdeführer mithin in Kauf zu nehmen (Urteile des BVGer F-3533/2016 vom 31. Mai 2017 E. 6.3; F-4369/2015 vom 18. Oktober 2016 E. 6.3; je m.H.).</w:t>
      </w:r>
    </w:p>
    <w:p>
      <w:r>
        <w:rPr>
          <w:b/>
        </w:rPr>
        <w:t>E. 8</w:t>
      </w:r>
    </w:p>
    <w:p>
      <w:r>
        <w:t>Die angefochtene Verfügung ist nach dem Gesagten im Lichte von Art. 49 VwVG nicht zu beanstanden. Die Beschwerde ist demzufolge abzuweisen.</w:t>
      </w:r>
    </w:p>
    <w:p>
      <w:r>
        <w:rPr>
          <w:b/>
        </w:rPr>
        <w:t>E. 9</w:t>
      </w:r>
    </w:p>
    <w:p>
      <w:r>
        <w:t>Entsprechend dem Ausgang des Verfahrens sind die Kosten dem Beschwerdeführer aufzuerlegen (vgl. Art. 63 Abs. 1 VwVG i.V.m. Art. 1 ff. des Reglements vom 21. Februar 2008 über die Kosten und Entschädigung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