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F-4023/2024 vom 27. Mai 2024</w:t>
      </w:r>
    </w:p>
    <w:p>
      <w:r>
        <w:t>Bundesverwaltungsgericht, 2024-05-27, DE</w:t>
      </w:r>
    </w:p>
    <w:p>
      <w:r>
        <w:rPr>
          <w:b/>
        </w:rPr>
        <w:t xml:space="preserve">Quelle: </w:t>
      </w:r>
      <w:r>
        <w:t>https://mcp.opencaselaw.ch/entscheid/bvger_F-4023_2024_d20240527</w:t>
      </w:r>
    </w:p>
    <w:p>
      <w:r>
        <w:t>FR: TAF F-4023/2024 du 27 mai 2024</w:t>
      </w:r>
    </w:p>
    <w:p>
      <w:r>
        <w:t>IT: TAF F-4023/2024 del 27 maggio 2024</w:t>
      </w:r>
    </w:p>
    <w:p>
      <w:pPr>
        <w:pStyle w:val="Heading2"/>
      </w:pPr>
      <w:r>
        <w:t>Regeste</w:t>
      </w:r>
    </w:p>
    <w:p>
      <w:r>
        <w:t>Schengen-Visum | Schengen-Visum; Verfügung des SEM vom 27. Mai 2024</w:t>
      </w:r>
    </w:p>
    <w:p>
      <w:pPr>
        <w:pStyle w:val="Heading2"/>
      </w:pPr>
      <w:r>
        <w:t>Erwägungen</w:t>
      </w:r>
    </w:p>
    <w:p>
      <w:r>
        <w:rPr>
          <w:b/>
        </w:rPr>
        <w:t>E. 1.1</w:t>
      </w:r>
    </w:p>
    <w:p>
      <w:r>
        <w:t>Von der Vorinstanz erlassene Verfügungen bezüglich Schengen-Visa sind mit Beschwerde beim Bundesverwaltungsgericht anfechtbar (vgl. Art. 112 Abs. 1 AIG [SR 142.20] i.V.m. Art. 31 ff. VGG). Das Rechtsmittel- verfahren richtet sich nach dem VwVG, soweit das VGG nichts anderes bestimmt (vgl. Art. 37 VGG).</w:t>
      </w:r>
    </w:p>
    <w:p>
      <w:r>
        <w:t>F-4023/2024 Seite 3</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angesichts der Beschwerde auf ein fortbestehendes Rechtsschutzinteresse geschlossen werden. Der Beschwerdeführer ist daher zur Erhebung des Rechtsmittels legitimiert (Art. 48 Abs. 1 VwVG). Auf die im Übrigen frist- und formgerecht eingereichte Beschwerde ist einzutreten (vgl.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liegen Gesuche von afghanischen Staatsangehörigen um Erteilung von Visa zu Besuchszwecken in der Schweiz zugrunde. Da sich die Gesuchstellenden nicht auf die EU/EFTA- Personenfreizügigkeitsabkommen berufen können und die beabsichtigte Aufenthaltsdauer 90 Tage nicht überschreitet, fällt die vorliegende Streitsa- che in den Anwendungsbereich der Schengen-Assoziierungsabkommen, mit denen die Schweiz den Schengen-Besitzstand und die dazugehörigen gemeinschaftsrechtlichen Rechtsakte übernahm (vgl. BVGE 014/1 E. 3; 2011/48 E. 3). Das AIG und dessen Ausführungsbestimmungen gelangen nur soweit zur Anwendung, als die Schengen-Assoziierungsabkommen keine abweichenden Bestimmungen enthalten (vgl. Art. 2 Abs. 4 AIG).</w:t>
      </w:r>
    </w:p>
    <w:p>
      <w:r>
        <w:rPr>
          <w:b/>
        </w:rPr>
        <w:t>E. 3.2</w:t>
      </w:r>
    </w:p>
    <w:p>
      <w:r>
        <w:t>Das schweizerische Ausländerrecht kennt weder ein allgemeines Recht auf Einreise noch gewährt es einen besonderen Anspruch auf Ertei- lung eines Visums. Die Schweiz ist daher grundsätzlich nicht verpflichtet, ausländischen Personen die Einreise zu gestatten und entscheidet dar- über, vorbehältlich völkerrechtlicher Verpflichtungen, autonom (vgl. BGE 135 II 1 E. 1.1; BVGE 2009/27 E. 3). Das Schengen-Recht schränkt die nationalstaatlichen Befugnisse insoweit ein, als es einheitliche</w:t>
      </w:r>
    </w:p>
    <w:p>
      <w:r>
        <w:t>F-4023/2024 Seite 4 Voraussetzungen für Einreise und Visum aufstellt und die Mitgliedstaaten verpflichtet, die Einreise beziehungsweise das Visum zu verweigern, wenn die Voraussetzungen nicht erfüllt sind. Einen Anspruch auf Einreise bezie- 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(vgl. BVGE 2014/1 E. 4.3 m.H.). Die Behörden haben daher zu prüfen und die drittstaatsangehörige Person hat zu</w:t>
      </w:r>
    </w:p>
    <w:p>
      <w:r>
        <w:t>F-4023/2024 Seite 5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(vgl. BVGE 2014/1 E. 4.1.5).</w:t>
      </w:r>
    </w:p>
    <w:p>
      <w:r>
        <w:rPr>
          <w:b/>
        </w:rPr>
        <w:t>E. 3.5</w:t>
      </w:r>
    </w:p>
    <w:p>
      <w:r>
        <w:t>Sind die vorerwähnten Einreisevoraussetzungen nicht erfüllt, kann in Ausnahmefällen ein Visum mit räumlich beschränkter Gültigkeit erteilt wer- den, das nur für das Hoheitsgebiet des betreffenden Mitgliedstaats gilt. Von dieser Möglichkeit kann der in Frage stehende Mitgliedstaat unter anderem Gebrauch machen, wenn er es aus humanitären Gründen, aus solchen des nationalen Interesses oder aufgrund internationaler Verpflichtungen für er- forderlich hält (vgl. Art. 5 Abs. 3 AIG; Art. 3 Abs. 4 VEV; Art. 25 Abs. 1 Bst. a VK; Art. 6 Abs. 5 Bst. c SGK).</w:t>
      </w:r>
    </w:p>
    <w:p>
      <w:r>
        <w:rPr>
          <w:b/>
        </w:rPr>
        <w:t>E. 3.6</w:t>
      </w:r>
    </w:p>
    <w:p>
      <w:r>
        <w:t>Aufgrund ihrer afghanischen Staatsangehörigkeit unterliegen die Ge- suchstellenden der Visumspflicht (Art. 8 Abs. 1 VEV i.V.m. Anhang I Ver- ordnung [EU] 2018/1806; Art. 6 Abs. 1 Bst. b SGK).</w:t>
      </w:r>
    </w:p>
    <w:p>
      <w:r>
        <w:rPr>
          <w:b/>
        </w:rPr>
        <w:t>E. 4.1</w:t>
      </w:r>
    </w:p>
    <w:p>
      <w:r>
        <w:t>Die Vorinstanz begründet die Abweisung der Einsprache im Wesentli- chen damit, dass die Wiederausreise der Gesuchstellenden nicht gewähr- leistet sei.</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(vgl. BVGE 2014/1 E. 6.1 m.H.).</w:t>
      </w:r>
    </w:p>
    <w:p>
      <w:r>
        <w:rPr>
          <w:b/>
        </w:rPr>
        <w:t>E. 4.3</w:t>
      </w:r>
    </w:p>
    <w:p>
      <w:r>
        <w:t>Politisch, sozioökonomisch und ökologisch befindet sich der Iran in ei- ner akuten Krise (vgl. etwa Urteil des BVGer F-4838/2024 vom 6. Dezem- ber 2024 E. 4.3). Die Proteste von 2022, ausgelöst durch den Tod von Mahsa Amini, haben die brutale Repression der Regierung gezeigt (vgl. UN OHCHR, Independent international fact-finding mission on the Islamic</w:t>
      </w:r>
    </w:p>
    <w:p>
      <w:r>
        <w:t>F-4023/2024 Seite 6 Republic of Iran: Update on the situation of women and girls in the context of the September 2022 protests and the “Woman, Life, Freedom” move- ment in the Islamic Republic of Iran, 13 September 2024, https://re- liefweb.int/report/iran-islamic-republic/they-have-dehumanized-us-minor- ity-rights-violations-during-woman-life-freedom-movement-islamic-repub- lic-iran-enfa&gt;, abgerufen am 11.12.2024, S. 2). Zudem ist der Iran seit der Machtübernahme der Taliban in Afghanistan mit einem starken Anstieg von Fluchtsuchenden konfrontiert (vgl. SHAMIN ASGHARI, Governance of Migra- tion by Decree: Legal Life of Afghan Migrants in Iran, 03.2024, &lt;https://sas- space.sas.ac.uk/9859/1/WPS%20No.%2070.pdf&gt;; abgerufen am 11.12.2024).</w:t>
      </w:r>
    </w:p>
    <w:p>
      <w:r>
        <w:rPr>
          <w:b/>
        </w:rPr>
        <w:t>E. 4.4</w:t>
      </w:r>
    </w:p>
    <w:p>
      <w:r>
        <w:t>Es ist daher evident, dass die Vorinstanz das Risiko einer nicht fristge- rechten Wiederausreise von Personen aus dem Iran allgemein als sehr hoch einschätzt. Dieses Risiko wird erfahrungsgemäss noch erhöht, wenn im Ausland bereits ein soziales oder familiäres Beziehungsnetz besteht, wie es vorliegend der Fall ist. Angesichts der restriktiven Zulassungsrege- lung führt dies nicht selten zur Umgehung von ausländerrechtlichen Best- immungen, indem die Gesuchstellenden – einmal eingereist – versuchen, den Aufenthalt auf eine andere rechtliche Basis abzustützen (vgl. BVGE 2014/1 E. 6.2.2). Das Risiko einer nicht fristgerechten Wiederaus- reise der Gesuchstellenden ist aufgrund der vorstehenden Ausführungen als allgemein sehr hoch einzuschätzen.</w:t>
      </w:r>
    </w:p>
    <w:p>
      <w:r>
        <w:rPr>
          <w:b/>
        </w:rPr>
        <w:t>E. 5</w:t>
      </w:r>
    </w:p>
    <w:p>
      <w:r>
        <w:t>5.1 Bei der Risikoanalyse sind jedoch nicht nur allgemeine Umstände und Erfahrungen zu berücksichtigen, sondern auch alle Gesichtspunkte des konkreten Einzelfalls. Trägt ein Antragsteller in seinem Heimatland besondere berufliche, gesellschaftliche oder familiäre Verantwortung, kann dieser Umstand die Prognose einer gesicherten Wiederausreise durchaus begünstigen. Demgegenüber ist bei Personen, die in ihrem Heimatland keine besonderen Verpflichtungen haben, das Risiko eines ausländerrechtswidrigen Verhaltens nach einer bewilligten Einreise als hoch einzustufen (vgl. BVGE 2014/1 E. 6.3.1).</w:t>
      </w:r>
    </w:p>
    <w:p>
      <w:r>
        <w:rPr>
          <w:b/>
        </w:rPr>
        <w:t>E. 5.1</w:t>
      </w:r>
    </w:p>
    <w:p>
      <w:r>
        <w:t>Bei der Risikoanalyse sind jedoch nicht nur allgemeine Umstände und Erfahrungen zu berücksichtigen, sondern auch alle Gesichtspunkte des konkreten Einzelfalls. Trägt ein Antragsteller in seinem Heimatland beson- dere berufliche, gesellschaftliche oder familiäre Verantwortung, kann die- ser Umstand die Prognose einer gesicherten Wiederausreise durchaus be- günstigen. Demgegenüber ist bei Personen, die in ihrem Heimatland keine besonderen Verpflichtungen haben, das Risiko eines ausländerrechtswid- rigen Verhaltens nach einer bewilligten Einreise als hoch einzustufen (vgl. BVGE 2014/1 E. 6.3.1).</w:t>
      </w:r>
    </w:p>
    <w:p>
      <w:r>
        <w:rPr>
          <w:b/>
        </w:rPr>
        <w:t>E. 5.2</w:t>
      </w:r>
    </w:p>
    <w:p>
      <w:r>
        <w:t>Bei den Gesuchstellenden handelt es sich um den Grossonkel des Be- schwerdeführers väterlicherseits und dessen Ehefrau, ein Ehepaar im Alter von 64 und 68 Jahren, das in Mashhad lebt. Sie sind afghanische Staats- angehörige und im Besitz von Visa beziehungsweise befristeten Aufent- haltsbewilligungen für den Iran («residence permit» [SEM-act. 3/71]). Nach ihren Angaben hätten sie ihr gesamtes Leben im Iran verbracht und</w:t>
      </w:r>
    </w:p>
    <w:p>
      <w:r>
        <w:t>F-4023/2024 Seite 7 besässen dort ein Haus; ihre erwachsenen Kinder und Enkelkinder würden ebenfalls in Mashhad leben (vgl. SEM-act. 1/9 f. sowie 6/103 f.). Die Ge- suchstellerin sei Hausfrau, während der Gesuchsteller als selbständiger Schuhverkäufer mit Angestellten tätig sei (vgl. SEM-act. 3/96 ff.). Seine Ar- beitsbewilligung ist aktenkundig seit dem 21. Juni 2021 erloschen (vgl. SEM-act. 3/59). Er gibt an, das Rentenalter von 60 Jahren erreicht zu ha- ben und deshalb keine Verlängerung der Arbeitsbewilligung mehr zu benö- tigen (vgl. BVGer-act. 1/2). Das Bankkonto der Gesuchstellenden wies ge- mäss Auszug vom 12. März 2024 einen Saldo von IRR 4'496'067'650.– (entspricht ca. Fr. 94'763. – [SEM act. 3/68 f.] aus). Der Gesuchsteller leite in Mashhad eine Sportgruppe, die sich regelmässig am Vormittag treffe. Er sei ein begeisterter Wanderer und Mitglied einer aktiven Wandergruppe. Zur Illustration dieser Aktivitäten wurden Fotos des Gesuchstellers einge- reicht (vgl. BVGer-act. 1/8 ff.). Ursprünglicher Zweck des Besuchs in der Schweiz sei die Hochzeit des Beschwerdeführers gewesen, die den Akten zufolge am (…) stattgefunden hätte. Mittlerweile würden die Gesuchstel- lenden die in der Schweiz lebende Familie des Beschwerdeführers, insbe- sondere seine Eltern und Geschwister, besuchen wollen. Der Beschwer- deführer habe zuvor neben einem weiteren Verwandten auch seine Gross- mutter in die Schweiz eingeladen. Beide seien vereinbarungsgemäss in den Iran zurückgekehrt (vgl. BVGer-act. 1/3).</w:t>
      </w:r>
    </w:p>
    <w:p>
      <w:r>
        <w:rPr>
          <w:b/>
        </w:rPr>
        <w:t>E. 5.3</w:t>
      </w:r>
    </w:p>
    <w:p>
      <w:r>
        <w:t>Für die Beurteilung des Kriteriums der gesicherten Wiederausreise sind die persönlichen, familiären und wirtschaftlichen Verhältnisse der Ge- suchstellenden massgebend. Neben dem Kontoauszug über das Barver- mögen des Gesuchstellers zum Zeitpunkt der Gesuchseinreichung legt der Beschwerdeführer keine weiteren Vermögensnachweise vor. Im Ergebnis erscheinen die wirtschaftlichen Verhältnisse der Gesuchstellenden grund- sätzlich gefestigt. Dennoch bleibt festzuhalten, dass das Vermögen und die Liegenschaft bei einer allfälligen Migration nicht verloren gingen (vgl. Urteil des BVGer F-4838/2024 vom 6. Dezember 2024 E. 4.5 m.H.). Hinzu kommt, dass die Kinder der Gesuchstellenden bereits erwachsen sind, die Erwerbstätigkeit des Gesuchstellers aufgrund seines fortgeschrittenen Al- ters nicht mehr lange andauern wird und die Gesuchstellenden über Fami- lienangehörige in der Schweiz verfügen. Zudem wurden die Schengen- Visa für eine Gesamtdauer von drei Monaten beantragt. Diese lange Ab- wesenheit ist nicht mit einer gefestigten beruflichen Bindung im Iran ver- einbar (vgl. e contrario Urteil des BVGer F-1600/2023 vom 7. November 2023 E. 5.3.2).</w:t>
      </w:r>
    </w:p>
    <w:p>
      <w:r>
        <w:t>F-4023/2024 Seite 8 In einer Gesamtwürdigung kann aufgrund der Angaben des Beschwerde- führers nicht auf besondere familiäre oder soziale Verpflichtungen der Ge- suchstellenden geschlossen werden, die eine fristgerechte Wiederausreise gewährleisten zu gewährleisten vermöchten.</w:t>
      </w:r>
    </w:p>
    <w:p>
      <w:r>
        <w:rPr>
          <w:b/>
        </w:rPr>
        <w:t>E. 5.4</w:t>
      </w:r>
    </w:p>
    <w:p>
      <w:r>
        <w:t>An der Richtigkeit der Einschätzung der Vorinstanz ändern auch die Zusicherungen des Gastgebers in der Schweiz nichts. Bei der Risikobeur- teilung ist in erster Linie das mögliche Verhalten der Gäste selbst von Be- deutung. Gastgeber und Garanten können mit rechtlich verbindlicher Wir- kung zwar für gewisse finanzielle Risiken im Zusammenhang mit dem Be- suchsaufenthalt, nicht aber für ein bestimmtes Tun oder Unterlassen ihrer Gäste einstehen (vgl. in diesem Zusammenhang auch BVGE 2009/27 E. 9).</w:t>
      </w:r>
    </w:p>
    <w:p>
      <w:r>
        <w:rPr>
          <w:b/>
        </w:rPr>
        <w:t>E. 5.5</w:t>
      </w:r>
    </w:p>
    <w:p>
      <w:r>
        <w:t>Nach dem Gesagten ist die Schlussfolgerung der Vorinstanz, wonach die Wiederausreise der Gesuchstellenden angesichts ihrer individuellen Si- tuation sowie der allgemeinen Situation afghanischer Staatsangehöriger im Iran nicht als gesichert angesehen werden könne, nicht zu beanstanden. Mithin fehlt es an einer unabdingbaren Voraussetzung für die Erteilung ei- nes einheitlichen Visums für den gesamten Schengen-Raum. Gründe für die Ausstellung von Visa mit räumlich beschränkter Gültigkeit wurden keine geltend gemacht, weshalb sich Weiterungen dazu erübrigen.</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in gleicher Höhe geleisteten Kostenvor- schuss gedeckt.</w:t>
      </w:r>
    </w:p>
    <w:p>
      <w:r>
        <w:rPr>
          <w:b/>
        </w:rPr>
        <w:t>E. 8</w:t>
      </w:r>
    </w:p>
    <w:p>
      <w:r>
        <w:t>Das Bundesverwaltungsgericht entscheidet in der vorliegenden Angele- genheit endgültig (Art. 83 Bst. c Ziff. 1 BGG; vgl. dazu Urteil des BGer 2C_316/2024 vom 21. Juni 2024 E. 2). (Dispositiv nächste Seite)</w:t>
      </w:r>
    </w:p>
    <w:p>
      <w:r>
        <w:t>F-4023/2024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