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F-4022/2020 vom 4. Mai 2021</w:t>
      </w:r>
    </w:p>
    <w:p>
      <w:r>
        <w:t>Bundesverwaltungsgericht, 2021-05-04, FR</w:t>
      </w:r>
    </w:p>
    <w:p>
      <w:r>
        <w:rPr>
          <w:b/>
        </w:rPr>
        <w:t xml:space="preserve">Quelle: </w:t>
      </w:r>
      <w:r>
        <w:t>https://mcp.opencaselaw.ch/entscheid/bvger_F-4022_2020</w:t>
      </w:r>
    </w:p>
    <w:p>
      <w:r>
        <w:t>FR: TAF F-4022/2020 du 4 mai 2021</w:t>
      </w:r>
    </w:p>
    <w:p>
      <w:r>
        <w:t>IT: TAF F-4022/2020 del 4 maggio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 délai prescrits par la loi, le recours est recevable (cf.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L'interdiction d'entrée est régie par l'art. 67 LEI.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3.2</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administrative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3.3</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3.4</w:t>
      </w:r>
    </w:p>
    <w:p>
      <w:r>
        <w:t>Selon la jurisprudence constante du Tribunal de céans, le seul fait d'entrer, respectivement de séjourner et/ou de travailler ponctuellement en Suisse sans autorisation idoine - un comportement qui est réprimé par le droit pénal administratif et est passible d'une peine privative de liberté d'un an au plus (cf. art. 115 al. 1 let. a à c LEI) - représente une violation grave des prescriptions du droit des étrangers (cf. notamment Message du Conseil fédéral concernant la loi sur les étrangers du 8 mars 2002, p. 3568 ad art. 66 du projet ; cf. aussi ATAF 2017 VII/2 consid. 6.2 et arrêts du TAF F-2581/2016 du 21 février 2018 consid. 5.3, F-6177/2016 du 22 janvier 2018 consid. 4.6 et F-2164/2017 du 17 novembre 2017 consid. 5.2) justifiant en soi le prononcé d'une interdiction de plusieurs années (cf. arrêts du TAF C-2894/2015 du 2 février 2016 [activité illégale d'au moins un jour, interdiction d'entrée de deux ans]; C-1608/2015 du 26 août 2015 [travail illégal de quelques jours, interdiction d'entrée de deux ans] ; C-5619/2014 du 2 décembre 2015 [séjour illégal d'une année et demie, interdiction d'entrée de trois ans] ; C-5366/2015 du 21 janvier 2016 [séjour et travail illégaux de près de cinq ans, interdiction d'entrée de trois ans]; C-5001/2014 du 30 juin 2014 [séjour illégal de six ans, interdiction d'entrée de trois ans]; C-5598/2013 du 8 avril 2015 [séjour illégal de 2 ans et demi, interdiction d'entrée de trois ans]; C-2973/2012 du 27 juin 2013 [séjour et travail illégaux de moins de 4 ans, interdiction d'entrée de trois ans]). Le Tribunal a aussi confirmé une interdiction d'entrée d'une durée de quatre ans à l'encontre d'un l'étranger ayant séjourné et travaillé illégalement en Suisse depuis 2011 (cf. arrêt du TAF F-7153/2018 du 7 octobre 2019). On entend par travail au noir, notamment, le fait d'exercer une activité salariée ou indépendante en violation des prescriptions légales, en particulier des dispositions du droit des étrangers (cf. Message du 16 janvier 2002 concernant la loi fédérale contre le travail au noir, FF 2002 3371, 3374). Dans ce contexte, l'intérêt public à lutter contre le travail au noir revêt une importance non négligeable. On ne saurait en effet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FF 2002 3371, 3372 et 3375 ; voir, sur cette question, également ATF 141 II 57 consid. 5.3 et 7; 137 IV 153 consid. 1.4 et 1.7; arrêt du TF 2P.77/2005 du 26 août 2005 consid. 6.2). Par ailleurs,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F-2677/2016 du 23 janvier 2017 consid. 7.2).</w:t>
      </w:r>
    </w:p>
    <w:p>
      <w:r>
        <w:rPr>
          <w:b/>
        </w:rPr>
        <w:t>E. 3.5</w:t>
      </w:r>
    </w:p>
    <w:p>
      <w:r>
        <w:t>Selon l'art. 11 al. 1 LEI, tout étranger qui entend exercer en Suisse une activité lucrative doit être titulaire d'une autorisation, quelle que soit la durée de son séjour. En outre, selon l'art. 11 al. 2 LEI, est considérée comme activité lucrative toute activité salariée ou indépendante qui procure normalement un gain, même si elle est exercée gratuitement. Enfin, selon l'art. 1a al. 1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w:t>
      </w:r>
    </w:p>
    <w:p>
      <w:r>
        <w:rPr>
          <w:b/>
        </w:rPr>
        <w:t>E. 4.1</w:t>
      </w:r>
    </w:p>
    <w:p>
      <w:r>
        <w:t>Il convient d'examiner, en premier lieu, si la recourante a attenté par son comportement à la sécurité et à l'ordre publics ou les a mis en danger au sens de l'art. 67 al. 2 let. a LEI, ce qui justifierait le prononcé d'une mesure d'interdiction d'entrée dans son principe, étant précisé que le moment déterminant pour juger du bien-fondé d'une interdiction d'entrée est en principe le jour du prononcé de la décision attaquée (arrêt du TF 2C_66/2018 du 7 mai 2018, consid. 5.3.1 ; Adank-Schärer/Antoniazza-Hafner, Interdiction d'entrée prononcée à l'encontre d'un étranger délinquant, AJP/PJA 7/2018, p. 889, note de bas de page no 32).</w:t>
      </w:r>
    </w:p>
    <w:p>
      <w:r>
        <w:rPr>
          <w:b/>
        </w:rPr>
        <w:t>E. 4.2</w:t>
      </w:r>
    </w:p>
    <w:p>
      <w:r>
        <w:t>Dans sa décision querellée, l'autorité inférieure a prononcé une interdiction d'entrée d'une durée de trois ans à l'encontre de la recourante pour avoir séjourné illégalement en Suisse et y avoir exercé une activité lucrative sans disposer d'autorisation idoine. Le SEM s'est basé notamment sur l'ordonnance du [...] mars 2020 du Ministère public de l'arrondissement du Nord vaudois condamnant l'intéressée pour ces faits et a estimé, au vu de l'atteinte à l'ordre et à la sécurité publics qui en a découlé, qu'une mesure d'éloignement s'imposait.</w:t>
      </w:r>
    </w:p>
    <w:p>
      <w:r>
        <w:rPr>
          <w:b/>
        </w:rPr>
        <w:t>E. 4.3</w:t>
      </w:r>
    </w:p>
    <w:p>
      <w:r>
        <w:t>Certes, dans ses observations du 1er juillet 2020 adressée au SEM, la recourante a affirmé qu'elle avait accompagné son amie sur son lieu de travail et qu'elle n'exerçait aucune activité lucrative au moment où le contrôle des inspecteurs du marché du travail a eu lieu. Dans son recours, l'intéressée a minimisé son comportement, en indiquant notamment que le fait d'aider une amie dans le cadre de son travail ou en l'accompagnant simplement à trois reprises, en l'absence d'un réel rapport de travail et de toute autre infraction, ne pouvait et ne devait être qualifiée d'atteinte grave à la sécurités publics. La recourante a encore indiqué que les faits exacts ne ressortaient pas entièrement de ses déclarations telles qu'enregistrées par la police notamment en raison d'une traduction insuffisamment précise et que n'étant pas assistée d'un conseil juridique, ni consciente des vices de traduction, elle n'avait pas su défendre ses intérêts. Le Tribunal constate d'abord qu'entendue par les inspecteurs du marché du travail sur un chantier, l'intéressée leur a notamment déclaré (en anglais) qu'elle était venue aider son amie pour effectuer le nettoyage, mais qu'elle ne serait pas payée (cf. rapport de contrôle rédigé le 1er novembre 2019, p. 19). Entendue à son tour par lesdits inspecteurs, l'amie en question a indiqué qu'elle travaillait pour son propre compte, qu'elle avait obtenu un mandat pour des travaux de nettoyage de fin de chantier et que la recourante, qui séjournait chez elle depuis trois semaines, lui donnait de temps en temps un coup de main pour ses mandats de nettoyage (cf. ibid, p. 2). Auditionnée à la gendarmerie, la recourante a reconnu que son amie lui avait proposé de l'accompagner et de l'aider à faire un nettoyage de fin de chantier, afin de ne pas rester seule à la maison; elle a encore précisé qu'elle ne recevait aucune rémunération pour le nettoyage effectué et que c'était la troisième fois qu'elle aidait son amie de cette manière (cf. p.-v. d'audition du 29 octobre 2019, p. 3). Même si la recourante a fait valoir que ses propos, lors de cette audition, ne correspondaient pas entièrement à ses déclarations en raison d'une traduction insuffisamment précise (cf. mémoire de recours p. 5), le Tribunal relève que cette dernière, qui au demeurant bénéficie d'une bonne formation, a donné son accord pour qu'un des gendarmes fonctionne comme traducteur anglais-français durant son audition (cf. remarque manuscrite figurant sur le formulaire « Droits et obligations prévenu » rédigé en albanais et signé par l'intéressée) et qu'elle a ensuite signé le procès-verbal confirmant ainsi son contenu après lecture (cf. procès-verbal d'audition du 29 octobre 2019). A cela s'ajoute que l'ordonnance pénale du [...] mars 2020, établissant les faits précités pour lesquelles la recourante a été condamnée, n'a pas fait l'objet d'une opposition et que son amie a aussi fait l'objet d'une condamnation pour l'avoir employée sans autorisation (cf. ordonnance du [...] février 2020 du Ministère public de l'arrondissement du Nord vaudois jointe en annexe au mémoire de recours), celle-ci n'ayant également fait l'objet d'aucune opposition. Dès lors, le Tribunal n'a aucune raison sérieuse de s'écarter des faits constatés par le juge pénal ni de ses appréciations juridiques (cf. consid. 3.3).</w:t>
      </w:r>
    </w:p>
    <w:p>
      <w:r>
        <w:rPr>
          <w:b/>
        </w:rPr>
        <w:t>E. 4.4</w:t>
      </w:r>
    </w:p>
    <w:p>
      <w:r>
        <w:t>Dès lors, le Tribunal constate qu'en aidant à trois reprises son amie dans ses mandats de nettoyage et ce, même à titre gracieux, sans disposer d'autorisation idoine, la recourante a enfreint les prescriptions légales (cf. art. 11 al. 1 et 2 LEI) et a donc commis une violation grave des prescriptions du droit des étrangers (cf. art.115 al. 1 let. b et c LEI et jurisprudence citée au consid. 3.4).</w:t>
      </w:r>
    </w:p>
    <w:p>
      <w:r>
        <w:rPr>
          <w:b/>
        </w:rPr>
        <w:t>E. 4.5</w:t>
      </w:r>
    </w:p>
    <w:p>
      <w:r>
        <w:t>Dans ces circonstances, le Tribunal est amené à conclure que l'intéressée, par son comportement délictueux en Suisse, a indiscutablement attenté à la sécurité et l'ordre publics au sens de l'art. 77a al. 1 OASA, de sorte qu'elle remplit les conditions d'application de l'art. 67 al. 2 let. a LEI. La mesure d'éloignement que constitue l'interdiction d'entrée prononcée le 15 juillet 2020 est dès lors justifiée dans son principe.</w:t>
      </w:r>
    </w:p>
    <w:p>
      <w:r>
        <w:rPr>
          <w:b/>
        </w:rPr>
        <w:t>E. 5</w:t>
      </w:r>
    </w:p>
    <w:p>
      <w:r>
        <w:t>Il convient, en second lieu, d'examiner si la décision d'interdiction d'entrée prise par l'autorité intimée satisfait aux principes de proportionnalité et de l'égalité de traitement.</w:t>
      </w:r>
    </w:p>
    <w:p>
      <w:r>
        <w:rPr>
          <w:b/>
        </w:rPr>
        <w:t>E. 5.1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w:t>
      </w:r>
    </w:p>
    <w:p>
      <w:r>
        <w:rPr>
          <w:b/>
        </w:rPr>
        <w:t>E. 5.2</w:t>
      </w:r>
    </w:p>
    <w:p>
      <w:r>
        <w:t>En l'espèce, il appert que les motifs retenus à l'appui de la mesure d'éloignement prise à l'endroit de la recourante (séjour illégal et activité lucrative sans autorisation) ne sauraient être contestés (cf. supra consid. 4.3) et que l'infraction aux prescriptions de droit des étrangers doit être qualifiée de grave (cf. supra consid 3.4). Or, compte tenu du nombre élevé de contraventions commises par les étrangers en termes de séjour illégal, les autorités sont contraintes d'intervenir avec sévérité afin d'assurer la stricte application des prescriptions édictées dans ce domaine. Il en va de l'intérêt de l'Etat à voir respecter l'ordre établi et la législation en vigueur (cf. l'arrêt du Tribunal administratif fédéral F-3242/2016 du 9 août 2017 consid. 5.4 et les références citées). Le prononcé d'une interdiction d'entrée paraît donc en adéquation avec la règle de l'aptitude et de la nécessité (cf. aussi supra consid. 5.1). Dans ces conditions, l'intérêt public à l'éloignement de l'intéressée de Suisse doit être qualifié d'important.</w:t>
      </w:r>
    </w:p>
    <w:p>
      <w:r>
        <w:rPr>
          <w:b/>
        </w:rPr>
        <w:t>E. 5.3</w:t>
      </w:r>
    </w:p>
    <w:p>
      <w:r>
        <w:t>Le Tribunal ne saurait en outre accorder une importance prépondérante aux intérêts privés avancés par l'intéressée, soit en particulier la liberté de se déplacer au sein de la Suisse et de l'Espace Schengen, au vu de l'intérêt public mentionné ci-avant. Par ailleurs, la recourante n'a fait valoir aucune attache déterminante avec la Suisse ou l'Espace Schengen.</w:t>
      </w:r>
    </w:p>
    <w:p>
      <w:r>
        <w:rPr>
          <w:b/>
        </w:rPr>
        <w:t>E. 5.4</w:t>
      </w:r>
    </w:p>
    <w:p>
      <w:r>
        <w:t>En considération de l'ensemble des éléments objectifs et subjectifs de la cause, l'interdiction d'entrée en Suisse prise par l'autorité inférieure le 15 juillet 2020 était certes une mesure nécessaire et adéquate afin de protéger l'ordre public. Cela étant, le Tribunal considère que la durée de trois ans n'est pas compatible in casu avec la jurisprudence en la matière, au regard de la nature du délit commis, de la condamnation pénale prononcée, de la courte durée durant laquelle les infractions ont été commises et des circonstances entourant le prononcé d'autres interdictions d'entrée d'une durée similaire (cf. arrêts du TAF C-2894/2015 du 2 février 2016 [activité illégale d'au moins un jour, interdiction d'entrée de deux ans]; C-1608/2015 du 26 août 2015 [travail illégal de quelques jours, interdiction d'entrée de deux ans]).</w:t>
      </w:r>
    </w:p>
    <w:p>
      <w:r>
        <w:rPr>
          <w:b/>
        </w:rPr>
        <w:t>E. 5.5</w:t>
      </w:r>
    </w:p>
    <w:p>
      <w:r>
        <w:t>Au vu de la jurisprudence du TAF susnommée, le respect des principes de la proportionnalité et de l'égalité de traitement impose une réduction de la durée de la mesure litigieuse à deux ans, à compter de son prononcé.</w:t>
      </w:r>
    </w:p>
    <w:p>
      <w:r>
        <w:rPr>
          <w:b/>
        </w:rPr>
        <w:t>E. 5.6</w:t>
      </w:r>
    </w:p>
    <w:p>
      <w:r>
        <w:t>Enfin, le Tribunal constate qu'il n'existe pas de raisons humanitaires ou d'autres motifs importants justifiant l'abstention ou la suspension de la mesure d'éloignement au sens de de l'art. 67 al. 5 LEI.</w:t>
      </w:r>
    </w:p>
    <w:p>
      <w:r>
        <w:rPr>
          <w:b/>
        </w:rPr>
        <w:t>E. 6</w:t>
      </w:r>
    </w:p>
    <w:p>
      <w:r>
        <w:t>Compte tenu des infractions en droit des étrangers retenues à l'encontre de l'intéressé, le Tribunal considère que le signalement au SIS II se justifie et satisfait au principe de la proportionnalité (cf. art. 21 en relation avec l'art. 24 al. 2 du règlement SIS II). Il l'est d'autant plus que la Suisse, dans le champ d'application des règles de Schengen, se doit de préserver les intérêts de tous les Etats parties aux accords d'association à Schengen (cf. arrêt du TAF F-2905/2018 du 28 février 2019 consid. 9.1). La recourante n'a par ailleurs, ni allégué, ni établi, dans le cadre de la présente procédure, qu'elle aurait obtenu un titre de séjour dans un pays de l'Espace Schengen.</w:t>
      </w:r>
    </w:p>
    <w:p>
      <w:r>
        <w:rPr>
          <w:b/>
        </w:rPr>
        <w:t>E. 7</w:t>
      </w:r>
    </w:p>
    <w:p>
      <w:r>
        <w:t>Il s'ensuit que le recours doit être partiellement admis et la décision querellée du 15 juillet 2020 réformée en ce sens que les effets de l'interdiction d'entrée sont limités au 14 juillet 2022.</w:t>
      </w:r>
    </w:p>
    <w:p>
      <w:r>
        <w:rPr>
          <w:b/>
        </w:rPr>
        <w:t>E. 7.1</w:t>
      </w:r>
    </w:p>
    <w:p>
      <w:r>
        <w:t>Dans la mesure où la recourante n'obtient que très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w:t>
      </w:r>
    </w:p>
    <w:p>
      <w:r>
        <w:rPr>
          <w:b/>
        </w:rPr>
        <w:t>E. 7.2</w:t>
      </w:r>
    </w:p>
    <w:p>
      <w:r>
        <w:t>La recourante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le mandataire de la recourante, le Tribunal estime, considérant les art. 8 ss FITAF, que le versement d'un montant de 500 francs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