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F-4020/2023 vom 27. Juli 2023</w:t>
      </w:r>
    </w:p>
    <w:p>
      <w:r>
        <w:t>Bundesverwaltungsgericht, 2023-07-27, FR</w:t>
      </w:r>
    </w:p>
    <w:p>
      <w:r>
        <w:rPr>
          <w:b/>
        </w:rPr>
        <w:t xml:space="preserve">Quelle: </w:t>
      </w:r>
      <w:r>
        <w:t>https://mcp.opencaselaw.ch/entscheid/bvger_F-4020_2023</w:t>
      </w:r>
    </w:p>
    <w:p>
      <w:r>
        <w:t>FR: TAF F-4020/2023 du 27 juillet 2023</w:t>
      </w:r>
    </w:p>
    <w:p>
      <w:r>
        <w:t>IT: TAF F-4020/2023 del 27 luglio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la qualité pour recourir ;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(take back), comme en l'espèce (cf. infra, consid. 5),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w:t>
      </w:r>
    </w:p>
    <w:p>
      <w:r>
        <w:t>En l'occurrence, les investigations entreprises par le SEM ont permis d'établir, après consultation de l'unité centrale du système européen « Eurodac », que le recourant a déposé une demande d'asile en Croatie le 9 juin 2023. L'autorité inférieure a, le 26 juin 2023, soumis aux autorités croates compétentes, dans les délais fixés à l'art. 23 par. 2 du règlement Dublin III, une requête aux fins de reprise en charge, fondée sur l'art. 18 par. 1 let. b de ce même règlement. N'ayant pas répondu à la demande de reprise en charge dans le délai prévu par l'art. 25 par. 1 du règlement Dublin III, la Croatie est réputée l'avoir acceptée et, partant, avoir reconnu sa compétence pour traiter la demande d'asile du recourant (art. 25 par. 2 règlement Dublin III), laquelle n'est du reste pas contestée.</w:t>
      </w:r>
    </w:p>
    <w:p>
      <w:r>
        <w:rPr>
          <w:b/>
        </w:rPr>
        <w:t>E. 5.1</w:t>
      </w:r>
    </w:p>
    <w:p>
      <w:r>
        <w:t>Cela étant, il y a lieu d'examiner, en vertu de l'art. 3 par. 2 al. 2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w:t>
      </w:r>
    </w:p>
    <w:p>
      <w:r>
        <w:rPr>
          <w:b/>
        </w:rPr>
        <w:t>E. 5.6</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règlement Dublin III ne se justifie pas.</w:t>
      </w:r>
    </w:p>
    <w:p>
      <w:r>
        <w:rPr>
          <w:b/>
        </w:rPr>
        <w:t>E. 6.1</w:t>
      </w:r>
    </w:p>
    <w:p>
      <w:r>
        <w:t>Pour s'opposer à son transfert, l'intéressé a, en substance, fait valoir qu'il avait été maltraité par les policiers croates qui l'auraient frappé et menotté avant de l'emmener dans un centre « avec beaucoup de gens ». Il aurait par la suite été forcé de donner ses empreintes digitales et on lui aurait remis un document de couleur jaune (temporary card) en lui expliquant, à tort, que cela n'impliquait pas le dépôt d'une demande d'asile. Le recourant a également spécifié ne pas vouloir retourner en Croatie, pays dans lequel il aurait subi un traitement inhumain de la part de la police. Cela étant, il a sollicité de manière implicite l'application de la clause discrétionnaire prévue à l'art. 17 par. 1 règlement Dublin III (clause de souveraineté).</w:t>
      </w:r>
    </w:p>
    <w:p>
      <w:r>
        <w:rPr>
          <w:b/>
        </w:rPr>
        <w:t>E. 6.2</w:t>
      </w:r>
    </w:p>
    <w:p>
      <w:r>
        <w:t>Sur la base de la disposition précitée,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l'espèce, l'intéressé n'a ni allégué, ni a fortiori démontré l'existence d'un risque concret et avéré que les autorités croates refuseraient de le reprendre en charge et de poursuivre l'examen de sa demande de protection, en violation de la directive Procédure. Par ailleurs, le recourant n'a fourni aucun élément concret susceptible de démontrer que la Croatie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w:t>
      </w:r>
    </w:p>
    <w:p>
      <w:r>
        <w:rPr>
          <w:b/>
        </w:rPr>
        <w:t>E. 6.5</w:t>
      </w:r>
    </w:p>
    <w:p>
      <w:r>
        <w:t>Par ailleurs, s'il a certes exposé que ses conditions d'accueil en Croatie avaient été difficiles et que la police l'avait maltraité, l'intéressé n'a pas démontré que les lesdites conditions d'accueil revêtiraient un degré de pénibilité et de gravité tel qu'elles seraient constitutives d'un traitement contraire à l'art. 3 CEDH, respectivement à l'art. 3 CCT.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6.6</w:t>
      </w:r>
    </w:p>
    <w:p>
      <w:r>
        <w:t>S'agissant de l'état de santé du recourant, il ressort du document médical versé au dossier que ce dernier souffre de troubles du sommeil ainsi que de démangeaisons dorsales (cf. dossier SEM, 22/1). A cet égard, un médicament phytothérapeutique à vertu sédative (Valverde) lui a été prescrit, ainsi qu'un lait hydratant pour le corps (Excipial).</w:t>
      </w:r>
    </w:p>
    <w:p>
      <w:r>
        <w:rPr>
          <w:b/>
        </w:rPr>
        <w:t>E. 6.6.1</w:t>
      </w:r>
    </w:p>
    <w:p>
      <w:r>
        <w:t>Au vu de la nature des problèmes de santé susmentionnés, lesquels ne reflètent pas une gravité particulière, et compte tenu de la jurisprudence restrictive en la matière, rien de permet d'inférer que l'intéressé ne serait pas apte à voyager ou que son transfert vers la Croatie représenterait un danger concret pour sa santé (cf., à ce sujet, Cour EDH précité Paposhvili c. Belgique, par. 183). En effet, force est de constater que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E-1101/2023 du 5 mai 2023 consid. 7.5.1, D-1418/2022 du 4 avril 2022 consid. 5.3.6 et D-1241/2022 du 25 mars 2022 p. 7).</w:t>
      </w:r>
    </w:p>
    <w:p>
      <w:r>
        <w:rPr>
          <w:b/>
        </w:rPr>
        <w:t>E. 6.6.2</w:t>
      </w:r>
    </w:p>
    <w:p>
      <w:r>
        <w:t>En outre, la Croatie, qui est liée par la directive Accueil et qui dispose de structures médicales adéquates (cf. arrêts du TAF précités E-2755/2022 consid. 6.4 ; E-1854/2022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6.7</w:t>
      </w:r>
    </w:p>
    <w:p>
      <w:r>
        <w:t>Par conséquent, le transfert du recourant vers la Croatie n'est pas contraire aux obligations découlant de dispositions conventionnelles auxquelles la Suisse est liée.</w:t>
      </w:r>
    </w:p>
    <w:p>
      <w:r>
        <w:rPr>
          <w:b/>
        </w:rPr>
        <w:t>E. 6.8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w:t>
      </w:r>
    </w:p>
    <w:p>
      <w:r>
        <w:rPr>
          <w:b/>
        </w:rPr>
        <w:t>E. 6.9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de l'intéressé, en application de l'art. 31a al. 1 let. b LAsi, et a prononcé son transfert de la Suisse vers la Pologne,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