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F-4002/2016 vom 7. Juli 2017</w:t>
      </w:r>
    </w:p>
    <w:p>
      <w:r>
        <w:t>Bundesverwaltungsgericht, 2017-07-07, IT</w:t>
      </w:r>
    </w:p>
    <w:p>
      <w:r>
        <w:rPr>
          <w:b/>
        </w:rPr>
        <w:t xml:space="preserve">Quelle: </w:t>
      </w:r>
      <w:r>
        <w:t>https://mcp.opencaselaw.ch/entscheid/bvger_F-4002_2016</w:t>
      </w:r>
    </w:p>
    <w:p>
      <w:r>
        <w:t>FR: TAF F-4002/2016 du 7 juillet 2017</w:t>
      </w:r>
    </w:p>
    <w:p>
      <w:r>
        <w:t>IT: TAF F-4002/2016 del 7 luglio 2017</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destinatario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l'interessato si trova in Svizzera da almeno cinque anni dalla presentazione della domanda d'asilo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ne ha esteso il campo d'applicazione: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DTAF 2009/40 consid. 3.4 con i relativi riferimenti). Ne consegue che, benché la terminologia sia simile, la procedura di approvazione dell'art. 14 cpv. 2 LAsi ha una natura speciale rispetto alle procedure di approvazione ex LStr (sulla natura di questa procedura cfr. DTF 137 I 128 consid. 3.1.2 e giurisprudenza ivi citata). Ciò detto, né il Tribunale, né la SEM sono legati dal preavviso favorevole delle autorità cantonali e possono rifiutarne l'approvazione o limitarne la portata (cfr. art. 14 cpv. 2 LAsi e art. 85 cpv. 2 OASA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Nel caso in esame A._______ è entrato in territorio elvetico il 25 apri-le 2008 depositando una domanda di asilo, egli soddisfa pertanto la condizione temporale posta dall'art. 14 cpv. 2 lett. a LAsi, ovvero la presenza in Svizzera da almeno cinque anni dall'inoltro della domanda di asilo. Dagli atti di causa emerge che il ricorrente ottempera parimenti alla seconda condizione prevista all'art. 14 cpv. 2 lett. b LAsi; infatti le autorità preposte hanno sempre conosciuto il luogo in cui egli soggiornava (cfr. preavviso positivo della SPOP del 14 marzo 2016, incarto Simic, pag. 4). Ciò detto, resta da esaminare se la situazione dell'interessato costituisca un grave caso di rigore personale in considerazione del suo grado di integrazione, ai sensi dell'art. 14 cpv. 2 lett. c LAsi in relazione con l'art. 31 OASA.</w:t>
      </w:r>
    </w:p>
    <w:p>
      <w:r>
        <w:rPr>
          <w:b/>
        </w:rPr>
        <w:t>E. 5.1</w:t>
      </w:r>
    </w:p>
    <w:p>
      <w:r>
        <w:t>I criteri materiali per l'apprezzamento di un «caso di rigore personale» giusta l'art. 14 cpv. 2 LAsi erano elencati il 1° gennaio 2007 nell'art. 33 dell'ordinanza 1 sull'asilo relativa a questioni procedurali dell'11 agosto 1999 (Ordinanza 1 sull'asilo, OAsi 1, RU 2006 4739) nel suo tenore in vigore fino al 31 dicembre 2007. A decorrere dall'entrata in vigore della LStr e delle relative ordinanze di 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Sempre con riferimento all'art. 31 cpv. 1 OASA, come pure alla giurisprudenza sviluppata in merito, va però indicato che nell'apprezzamento del «caso di rigore» occorre tenere conto dell'insieme delle circostanze della fattispecie, di modo che i criteri enunciati dalla disposizione legale non costituiscano un catalogo esaustivo e non debbano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ai sensi del diritto degli stranieri (DTF 130 II 39 consid. 3; DTAF 2009/40 consid. 6.1; 2007/45 consid. 4.2; Vuille/Schenk, op. cit., pagg. 105 e segg.).</w:t>
      </w:r>
    </w:p>
    <w:p>
      <w:r>
        <w:rPr>
          <w:b/>
        </w:rPr>
        <w:t>E. 6.1</w:t>
      </w:r>
    </w:p>
    <w:p>
      <w:r>
        <w:t>Nell'atto ricorsuale A._______ si è prevalso del lungo soggiorno in Svizzera (ormai superiore a nove anni), di un comportamento corretto, di buone conoscenze della lingua italiana e di un'integrazione socioprofessionale riuscita.</w:t>
      </w:r>
    </w:p>
    <w:p>
      <w:r>
        <w:rPr>
          <w:b/>
        </w:rPr>
        <w:t>E. 6.2</w:t>
      </w:r>
    </w:p>
    <w:p>
      <w:r>
        <w:t>Il Tribunale osserva in primo luogo che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come pure la sentenza del TAF C-5313/2011 del 13 marzo 2014 consid. 6.2 ed i riferimenti ivi citati). Nella presente fattispecie il ricorrente non può dunque prevalersi unicamente della durata della sua permanenza in Svizzera al fine del rilascio di un permesso di dimora in applicazione dell'art. 14 cpv. 2 LAsi. La considerazione che precede vale a maggior ragione nel caso in esame visto che l'autorità inferiore non è entrata nel merito della domanda di asilo del ricorrente e ne ha pronunciato l'allontanamento con decisione del 17 dicembre 2010, confermata da questo Tribunale in data 3 ottobre 2011 (D-8842/2010). Da allora A._______ soggiorna in Svizzera unicamente grazie alla tolleranza delle autorità cantonali ticinesi (a questo proposito cfr. in particolare DTAF 2007/45 consid. 4.4 e 6.3; 2007/44 consid. 5.2; sentenze del TAF C-3620/2014 del 21 settembre 2015 consid. 6.1; C-5309/2013 del 5 dicembre 2014 consid. 4.3.1 e le referenze citate).</w:t>
      </w:r>
    </w:p>
    <w:p>
      <w:r>
        <w:rPr>
          <w:b/>
        </w:rPr>
        <w:t>E. 6.3</w:t>
      </w:r>
    </w:p>
    <w:p>
      <w:r>
        <w:t>Per quanto attiene all'integrazione professionale del ricorrente, lo scrivente Tribunale ritiene che questa non rivesta un carattere eccezionale se paragonata a quella della media degli stranieri in Svizzera da diversi anni. Senza mettere in discussione gli sforzi profusi da A._______ in quest'ambito, nonché la sua volontà di partecipare alla vita economica elvetica, non si può considerare che la relazione dell'interessato con la Svizzera sia talmente stretta da non poter esigere che egli si trasferisca in un'altra nazione o che ritorni nel paese d'origine (DTAF 2009/40 consid. 6.2 e riferimenti ivi citati; 2007/44 consid. 4.2). Il ricorrente ha intrapreso e concluso un apprendistato quale costruttore, risultando finanziariamente indipendente dal settembre 2013 (cfr. preavviso positivo della SPOP del 14 marzo 2016, incarto Simic, pag. 4). Pur tenendo conto del fatto che i colleghi di A._______ lo hanno lodato per il suo lavoro ed il suo comportamento (cfr. lettere allegate alla presa di posizione dinanzi all'autorità inferiore del 9 maggio 2016, incarto Simic, pagg. 12 a 14), non si può ritenere che il percorso lavorativo intrapreso dall'interessato rappresenti un apprendimento di competenze o qualifiche tali da non poter essere utilizzate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6.4</w:t>
      </w:r>
    </w:p>
    <w:p>
      <w:r>
        <w:t>Con riferimento al criterio dell'integrazione sociale, A._______ ha dimostrato impegno nell'acquisire le conoscenze linguistiche del luogo di residenza e, come si è visto, in ambito professionale. Dall'esame degli atti di causa emerge inoltre che il ricorrente ha stretto legami di amicizia con cittadini residenti in Ticino, le testimonianze rilasciate dagli stessi - in particolare da colleghi e da un ex docente - descrivono il ricorrente come una persona ben educata, gentile e dedita al lavoro.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amicizia e conoscenze.</w:t>
      </w:r>
    </w:p>
    <w:p>
      <w:r>
        <w:rPr>
          <w:b/>
        </w:rPr>
        <w:t>E. 6.5</w:t>
      </w:r>
    </w:p>
    <w:p>
      <w:r>
        <w:t>L'analisi che precede non è modificata nemmeno dall'ininterrotto rispetto dei principi dello Stato di diritto da parte di A._______. Invero, l'assenza di comportamenti penalmente reprensibili durante la permanenza in Svizzera del ricorrente non rappresenta nulla di eccezionale, al contrario, corrisponde al normale comportamento che ogni cittadino è tenuto ad adottare (cfr. Vuille/Schenk, op. cit., pagg. 120 e segg.).</w:t>
      </w:r>
    </w:p>
    <w:p>
      <w:r>
        <w:rPr>
          <w:b/>
        </w:rPr>
        <w:t>E. 6.6</w:t>
      </w:r>
    </w:p>
    <w:p>
      <w:r>
        <w:t>Il Tribunale rileva che l'interessato gode di uno stato di salute buono (cfr. preavviso positivo della SPOP del 14 marzo 2016, incarto Simic, pag. 3), ragione per la quale neppure da un punto di vista medico un proseguimento della sua permanenza in Svizzera appare necessario.</w:t>
      </w:r>
    </w:p>
    <w:p>
      <w:r>
        <w:rPr>
          <w:b/>
        </w:rPr>
        <w:t>E. 6.7</w:t>
      </w:r>
    </w:p>
    <w:p>
      <w:r>
        <w:t>Quo alla situazione familiare dell'interessato occorre osservare che la stessa non sembra costituire un ostacolo ad un suo eventuale rientro in Benin. Sebbene egli abbia dichiarato di non avere contatti con alcun familiare, essendo la madre deceduta ancora prima del suo arrivo in Europa, occorre osservare che egli, celibe e senza figli, non ha infatti nessun legame familiare nemmeno in Svizzera. Il ricorrente ha risieduto nel suo paese d'origine fino all'età di 16 anni, e per sua stessa ammissione vi ha costruito delle relazioni sociali, che nonostante il lungo periodo trascorso in terra elvetica potrebbero facilitarne la reintegrazione. Il Tribunale non ignora il fatto che il ritorno in Benin dopo un soggiorno di diversi anni in Svizzera possa comportare delle difficoltà. Effettivamente, una volta rientrato nella sua terra d'origine, il ricorrente si troverà indubbiamente in condizioni meno favorevoli di quelle vissute in questo paese. La sua situazione sarà tuttavia simile a quella di molti altri suoi connazionali rimasti in Benin. Tale circostanza non rappresenta nondimeno una ragione sufficiente per potere beneficiare di un permesso di soggiorno fondato sulla base di un caso di estrema gravità che renda impossibile esigere da lui il riadattamento alla sua esistenza passata. Come già rilevato da questa Corte (DTAF 2007/16 consid. 10), non vengono prese in considerazione le circostanze generali (economiche, sociali o sanitarie) a cui è confrontata l'insieme della popolazione rimasta in patria ed a cui la persona interessata dovrà fare fronte al suo ritorno, salvo nel caso in cui quest'ultima possa invocare delle difficoltà concrete e proprie alla sua situazione particolare. Ciò non è il caso nella presente fattispecie. Va infine considerato che le conoscenze professionali e l'esperienza acquisite in Svizzera potranno facilitare il reinserimento di A._______ nella sua terra d'origine.</w:t>
      </w:r>
    </w:p>
    <w:p>
      <w:r>
        <w:rPr>
          <w:b/>
        </w:rPr>
        <w:t>E. 7</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8</w:t>
      </w:r>
    </w:p>
    <w:p>
      <w:r>
        <w:t>Ne discende che la SEM, con la decisione del 24 maggio 2016,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9</w:t>
      </w:r>
    </w:p>
    <w:p>
      <w:r>
        <w:t>Le spese processuali di fr. 800.-,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10</w:t>
      </w:r>
    </w:p>
    <w:p>
      <w:r>
        <w:t>Visto l'esito della procedura non sono assegnate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