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F-4000/2020 vom 17. August 2020</w:t>
      </w:r>
    </w:p>
    <w:p>
      <w:r>
        <w:t>Bundesverwaltungsgericht, 2020-08-17, DE</w:t>
      </w:r>
    </w:p>
    <w:p>
      <w:r>
        <w:rPr>
          <w:b/>
        </w:rPr>
        <w:t xml:space="preserve">Quelle: </w:t>
      </w:r>
      <w:r>
        <w:t>https://mcp.opencaselaw.ch/entscheid/bvger_F-4000_2020</w:t>
      </w:r>
    </w:p>
    <w:p>
      <w:r>
        <w:t>FR: TAF F-4000/2020 du 17 août 2020</w:t>
      </w:r>
    </w:p>
    <w:p>
      <w:r>
        <w:t>IT: TAF F-4000/2020 del 17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w:t>
      </w:r>
    </w:p>
    <w:p>
      <w:r>
        <w:t>Der Beschwerdeführer bestreitet nicht, in Österreich ein Asylgesuch eingereicht zu haben, welches abgelehnt wurde. Die österreichischen Behörden hiessen das Gesuch der Vorinstanz um Wiederaufnahme gestützt auf Art. 18 Abs. 1 Bst. d Dublin-III-VO am 31. Juli 2020 ausdrücklich gut (Akten SEM 20). Die Zuständigkeit Österreichs steht somit grundsätzlich fest.</w:t>
      </w:r>
    </w:p>
    <w:p>
      <w:r>
        <w:rPr>
          <w:b/>
        </w:rPr>
        <w:t>E. 5.1</w:t>
      </w:r>
    </w:p>
    <w:p>
      <w:r>
        <w:t>Der Beschwerdeführer macht geltend, er würde von Österreich nach Afghanistan abgeschoben, wo ihm «eine Verletzung von Art. 3 EMRK» drohe. Demzufolge wäre ein Selbsteintritt gemäss Art. 17 Abs. 1 Dublin-III-VO zwingend zu verfügen gewesen. Er habe, entgegen den Ausführungen im österreichischen Asylentscheid vom 16. Februar 2017, in seiner Befragung durch die österreichischen Behörden konkrete Hinweise auf eine Bedrohungssituation in Afghanistan vorgebracht. Die Vorinstanz wäre daher verpflichtet gewesen, eine vertiefte individuelle Prüfung durchzuführen. Überdies sei der Vollzug der Wegweisung nach Afghanistan gemäss der Praxis des Bundesverwaltungsgerichts unzumutbar im Sinne Art. 83 Abs. 4 AIG (SR 142.20) und führe zu einer vorläufigen Aufnahme (Art. 83 Abs. 1 AIG).</w:t>
      </w:r>
    </w:p>
    <w:p>
      <w:r>
        <w:rPr>
          <w:b/>
        </w:rPr>
        <w:t>E. 5.2</w:t>
      </w:r>
    </w:p>
    <w:p>
      <w:r>
        <w:t>Die Rügen des Beschwerdeführers sind unbegründet:</w:t>
      </w:r>
    </w:p>
    <w:p>
      <w:r>
        <w:rPr>
          <w:b/>
        </w:rPr>
        <w:t>E. 5.2.1</w:t>
      </w:r>
    </w:p>
    <w:p>
      <w:r>
        <w:t>Vorab ist festzuhalten, dass der Beschwerdeführer mit dem streitigen Entscheid nach Österreich weggewiesen wird und nicht nach Afghanistan. Seine Rüge, die Wegweisung sei unzumutbar, geht daher von vornherein fehl. Wie die Vorinstanz zutreffend festgehalten hat, gibt es keine wesentlichen Gründe für die Annahme, dass das Asylverfahren und die Aufnahmebedingungen für asylsuchende Personen in Österreich systemische Schwachstellen im Sinne von Art. 3 Abs. 2 Sätze 2 und 3 Dublin-III-VO hätten, die eine Gefahr einer unmenschlichen oder entwürdigenden Behandlung im Sinne des Artikels 4 der EU-Grundrechtecharta und Art. 3 EMRK mit sich bringen würden.</w:t>
      </w:r>
    </w:p>
    <w:p>
      <w:r>
        <w:rPr>
          <w:b/>
        </w:rPr>
        <w:t>E. 5.2.2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5.2.3</w:t>
      </w:r>
    </w:p>
    <w:p>
      <w:r>
        <w:t>Der Beschwerdeführer hat kein konkretes und ernsthaftes Risiko dargetan, dass die österreichischen Behörden in seinem Fall den erwähnten völkerrechtlichen Verpflichtungen nicht nachkommen würden. Insbesondere gibt es keine Hinweise, dass die Behandlung seines Asylgesuchs mangelhaft gewesen sein könnte und seine Wegweisung in Verletzung des Non-Refoulement-Verbots verfügt worden sein könnte. Es ist auch nicht ersichtlich, dass in seinem Fall der Grundsatz des Non-Refoulement missachtet werden könnte, indem er von den österreichischen Behörden zur Ausreise in ein Land gezwungen werden könnte, in dem sein Leib, sein Leben oder seine Freiheit aus einem Grund nach Art. 3 Abs. 1 AsylG gefährdet ist oder in dem er Gefahr laufen würde, zur Ausreise in ein solches Land gezwungen zu werden. Soweit er sich auf die Urteile des Bundesverwaltungsgerichts E-4498/2015 vom 19. November 2018 und E-4969/2016 vom 21. November 2016 beruft, ist ihm entgegenzuhalten, dass sich die dort zu beurteilenden Sachverhalte sowohl mit Blick auf die individuelle Situation der betroffenen Personen als auch in Bezug auf die Situation in den gemäss Dublin-III-VO zuständigen Länder (Italien, Bulgarien) grundsätzlich vom vorliegenden Fall unterscheiden. Der Beschwerdeführer kann daher aus diesen Urteilen nichts zu seinen Gunsten ableiten.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Die Überstellung des Beschwerdeführers nach Österreich führt gemäss den Akten nicht zu einer Kettenabschiebung, die gegen das Non-Refoulement-Prinzip verstossen würde, wie es in Art. 33 FK verankert ist (und sich ausserdem aus Art. 4 der EU-Grundrechtecharta, Art. 3 EMRK oder Art. 3 FoK ableiten lässt).</w:t>
      </w:r>
    </w:p>
    <w:p>
      <w:r>
        <w:rPr>
          <w:b/>
        </w:rPr>
        <w:t>E. 5.3</w:t>
      </w:r>
    </w:p>
    <w:p>
      <w:r>
        <w:t>Die Frage der Anwendung der Souveränitätsklausel aus humanitären Gründen gestützt auf Art. 29a Abs. 3 AsylV 1 ist ins Dublinverfahren eingebettet. Dieses betrifft lediglich die Frage, ob auf ein Asylgesuch eingetreten wird oder ob die gesuchstellende Person in einen Drittstaat ausreisen kann, der gemäss der Dublin-III-VO für die Durchführung des Asyl- und Wegweisungsverfahrens zuständig ist. In diesem Zusammenhang werden die Entscheide anderer Vertragsstaaten - gestützt auf das gegenseitige Vertrauen, das die jeweiligen nationalen Asylrechtsstandards zumindest den Anforderungen der Europäischen Richtlinien in diesem Bereich entsprechen - sowohl mit Blick auf die materielle Beurteilung der Asylgründe als auch mit Blick auf die Zulässigkeit bzw. Zumutbarkeit des Wegweisungsvollzugs in den Herkunfts- oder Heimatstaat anerkannt,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Urteil des BVGer F-2530/2017 vom 15. Mai 2017 E. 9.2 m.H.).</w:t>
      </w:r>
    </w:p>
    <w:p>
      <w:r>
        <w:rPr>
          <w:b/>
        </w:rPr>
        <w:t>E. 5.4</w:t>
      </w:r>
    </w:p>
    <w:p>
      <w:r>
        <w:t>Es ergeben sich weder aus den Vorbringen im Beschwerdeverfahren noch aus den vorinstanzlichen Akten Anhaltspunkte dafür, dass der Entscheid der Vorinstanz gesetzeswidrig i.S.v. Art. 106 Abs. 1 AsylG wäre. Soweit sich der Beschwerdeführer auf das Urteil des Bundesverwaltungsgerichts E-51/2020 vom 6. Februar 2020 bezieht, ist ihm entgegenzuhalten, dass sich der Sachverhalt, wie er sich damals für das Gericht darstellte, deutlich vom hier zu beurteilenden unterscheidet und der Beschwerdeführer deshalb nichts zu seinen Gunsten daraus abzuleiten vermag. Weitere Ausführungen zum Selbsteintritt erübrigen sich daher.</w:t>
      </w:r>
    </w:p>
    <w:p>
      <w:r>
        <w:rPr>
          <w:b/>
        </w:rPr>
        <w:t>E. 5.5</w:t>
      </w:r>
    </w:p>
    <w:p>
      <w:r>
        <w:t>Zusammenfassend ist festzuhalten, dass kein Grund für die Anwendung der Ermessensklausen von Art. 17 Dublin-III-VO oder von Art. 29a Abs. 3 AsylV 1 vorliegt. Österreich bleibt somit zuständiger Mitgliedstaat gemäss Dublin-III-VO und ist verpflichtet, den Beschwerdeführer wiederaufzunehmen.</w:t>
      </w:r>
    </w:p>
    <w:p>
      <w:r>
        <w:rPr>
          <w:b/>
        </w:rPr>
        <w:t>E. 6</w:t>
      </w:r>
    </w:p>
    <w:p>
      <w:r>
        <w:t>Die Beschwerde ist abzuweisen.</w:t>
      </w:r>
    </w:p>
    <w:p>
      <w:r>
        <w:rPr>
          <w:b/>
        </w:rPr>
        <w:t>E. 6.1</w:t>
      </w:r>
    </w:p>
    <w:p>
      <w:r>
        <w:t>Mit dem vorliegenden Urteil fällt der am 11. August 2020 angeordnete Vollzugsstopp dahin. Das Gesuch um Erteilung der aufschiebenden Wirkung ist gegenstandslos geworden.</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1 - 3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