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F-3999/2017 vom 16. April 2018</w:t>
      </w:r>
    </w:p>
    <w:p>
      <w:r>
        <w:t>Bundesverwaltungsgericht, 2018-04-16, DE</w:t>
      </w:r>
    </w:p>
    <w:p>
      <w:r>
        <w:rPr>
          <w:b/>
        </w:rPr>
        <w:t xml:space="preserve">Quelle: </w:t>
      </w:r>
      <w:r>
        <w:t>https://mcp.opencaselaw.ch/entscheid/bvger_F-3999_2017</w:t>
      </w:r>
    </w:p>
    <w:p>
      <w:r>
        <w:t>FR: TAF F-3999/2017 du 16 avril 2018</w:t>
      </w:r>
    </w:p>
    <w:p>
      <w:r>
        <w:t>IT: TAF F-3999/2017 del 16 aprile 2018</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Schengen-Visums ergehen. Eine Ausnahme nach Art. 32 VGG liegt nicht vor.</w:t>
      </w:r>
    </w:p>
    <w:p>
      <w:r>
        <w:rPr>
          <w:b/>
        </w:rPr>
        <w:t>E. 1.2</w:t>
      </w:r>
    </w:p>
    <w:p>
      <w:r>
        <w:t>Das Rechtsmittelverfahren richtet sich nach dem VwVG, soweit das VGG nichts anderes bestimmt (Art. 37 VGG).</w:t>
      </w:r>
    </w:p>
    <w:p>
      <w:r>
        <w:rPr>
          <w:b/>
        </w:rPr>
        <w:t>E. 1.3</w:t>
      </w:r>
    </w:p>
    <w:p>
      <w:r>
        <w:t>Die Beschwerdeführerin ist als verfahrensteilnehmende Gastgeberin zur Beschwerde legitimiert (Art. 48 Abs. 1 VwVG). Auf die frist- und formge-recht eingereichte Beschwerde ist einzutreten (Art. 50 u. 52 VwVG).</w:t>
      </w:r>
    </w:p>
    <w:p>
      <w:r>
        <w:rPr>
          <w:b/>
        </w:rPr>
        <w:t>E. 1.4</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Der angefochtenen Verfügung liegt das Gesuch eines sri-lankischen Staatsangehörigen um Erteilung eines Visums für einen dreimonatigen Besuchsaufenthalt in der Schweiz zugrunde. Da der Gesuchsteller sich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5. April 2017, AS 2017 2549] i.V.m. Art. 6 Abs. 1 und 2 der Verordnung [EU] Nr. 2016/399 des Europäischen Parlaments und des Rates vom 9. März 2016 über einen Gemeinschaftskodex für das Überschreiten der Grenzen durch Personen [nachfolgend: Schengener Grenzkodex, SGK, ABl. L 77 vom 23.03.2016; kodifizierter Text], Art. 4 Abs. 1 VEV).</w:t>
      </w:r>
    </w:p>
    <w:p>
      <w:r>
        <w:rPr>
          <w:b/>
        </w:rPr>
        <w:t>E. 4.3</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Ausserdem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4.5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5.1</w:t>
      </w:r>
    </w:p>
    <w:p>
      <w:r>
        <w:t>Aufgrund seiner Staatszugehörigkeit unterliegt der Gesuchsteller der Visumspflicht (vgl. Anhang I der oben in E. 4.2 erstzitierten Verordnung). Bei der Prüfung der Einreisevoraussetzungen nach Art. 6 Abs. 1 SGK ist die Frage der gesicherten Wiederausreise zentral. Eine solche erachtet die Vorinstanz aufgrund der allgemeinen Situation im Heimatland sowie der familiären, beruflichen und gesellschaftlichen Verhältnisse des Gesuchstellers als nicht genügend gewährleistet.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Die wirtschaftliche Entwicklung Sri Lankas weist grosse regionale Un-terschiede auf. Der ökonomische Aufschwung in den letzten Jahren ist eng mit dem Ende des Bürgerkriegs im Jahr 2009 verbunden und auch darauf zurückzuführen, dass in den ehemaligen Bürgerkriegsregionen im Norden und Osten des Landes wieder vermehrt Landwirtschaft betrieben werden kann. Dennoch leben in diesen Regionen viele Menschen am Existenzminimum. Ihre Lage wird zudem überschattet durch den ethnischen Konflikt zwischen den Singhalesen und der sich diskriminiert fühlenden tamilischen Minderheit, für den bisher keine nennenswerte politische Lösung gefunden wurde. Erst die im August 2015 gewählte neue Regierung hat sich - auf Druck des UN-Menschenrechtsrats - explizit bereit erklärt, zahlreiche Maßnahmen zur Versöhnung der ehemaligen Bürgerkriegsparteien umzusetzen. Der sehr spät ins Auge gefasste Versöhnungsprozess macht deutlich, dass der Weg zu dauerhaftem Frieden und Stabilität noch weit ist (vgl. zum Ganzen: Bundesministerium für wirtschaftliche Zusammenarbeit und Entwicklung, http://www.bmz.de laender_regionen asien sri_lanka; Deutsches Auswärtiges Amt, http://www.auswaertiges-amt.de Aussen- und Europapolitik Länderinformationen Sri Lanka Innenpolitik [Stand: September 2017], beide Webseiten abgerufen im April 2018).</w:t>
      </w:r>
    </w:p>
    <w:p>
      <w:r>
        <w:rPr>
          <w:b/>
        </w:rPr>
        <w:t>E. 5.4</w:t>
      </w:r>
    </w:p>
    <w:p>
      <w:r>
        <w:t>Angesichts dieser Umstände und unter Berücksichtigung, dass die Bereitschaft, das Heimatland zu verlassen, erfahrungsgemäss dort begünstigt wird, wo bereits Verwandte im Ausland leben, ist nicht zu beanstanden, dass die Vorinstanz das Risiko einer nicht fristgerechten Wiederausreise in Bezug auf das Land als solches als grundsätzlich hoch einschätzte.</w:t>
      </w:r>
    </w:p>
    <w:p>
      <w:r>
        <w:rPr>
          <w:b/>
        </w:rPr>
        <w:t>E. 6.1</w:t>
      </w:r>
    </w:p>
    <w:p>
      <w:r>
        <w:t>Daran anknüpfend, gilt es demgegenüber mit in Betracht zu ziehen, dass der Gesuchsteller der ethnischen Gruppe der Singhalesen angehört. Bei den Personen sri-lankischer Herkunft in der Schweiz handelt es sich aber zum überwiegenden Teil um Tamilinnen und Tamilen. Gemäss der vom Bundesamt für Migration (BFM; heute: SEM) im November 2007 herausgegebenen Publikation "Die srilankische Diaspora in der Schweiz" zählten damals 90 bis 95 % der von dort Eingereisten zu dieser ethnischen Gruppe (Quelle: https://www.sem.admin.ch/dam/data/sem/publiservice/publikationen/diaspora/diasporastudie-srilanka-d.pdf &gt;); seither haben sich die Verhältnisse nicht merklich verändert. Ebenfalls ausgeklammert hat das SEM in seinen Erwägungen die Region, aus welcher die eingeladene Person stammt. Wie angetönt (siehe E. 5.3 hiervor), existieren in Sri Lanka grosse regionale Unterschiede. Der Gesuchsteller wohnt in X._______, einer Ortschaft in einem Aussenbezirk von Colombo und sein Arbeitsplatz befindet sich in der Hauptstadt. Die Region um Colombo gilt als wirtschaftliches Zentrum, in welchem fast die Hälfte der gesamten Wirtschaftsleistung des Landes erbracht wird (vgl. &lt; http://www.bmz.de &gt; laender_regionen &gt; asien &gt; sri_lanka &gt; zusammenarbeit &gt; index.html, &lt; http://www.auswaertiges-amt.de &gt; Aussen- und Europapolitik &gt; Länderinformationen &gt; Sri Lanka &gt; Wirtschaft [Stand: Oktober 2017]). Kommt hinzu, dass er in der fraglichen Gegend nicht in gleichem Masse von der fragilen Sicherheitslage betroffen ist, wie sie sich zum Teil in den Nord- und Ostprovinzen präsentiert. Dieser Ausgangslage gilt es bei der Würdigung der nachfolgenden Vorbringen Rechnung zu tragen.</w:t>
      </w:r>
    </w:p>
    <w:p>
      <w:r>
        <w:rPr>
          <w:b/>
        </w:rPr>
        <w:t>E. 6.2</w:t>
      </w:r>
    </w:p>
    <w:p>
      <w:r>
        <w:t>Beim Gesuchsteller handelt es sich um einen bald 32-jährigen verheirateten Mann. Er ist Vater von Zwillingen, die im April 2016 zur Welt kamen, und wohnt mit ihnen und seiner Ehefrau im Grossraum Colombo (vgl. Geburtsurkunde von B._______, den Eheregisterauszug sowie die Geburtsurkunden der Kinder, alle ausgestellt am 23. Februar 2017 [SEM act. 2, pag. 56 - 63]). Auch sein gesamtes soziales Umfeld, insbesondere Freunde und Arbeitskollegen, halten sich eigener Darstellung zufolge in der näheren Umgebung auf. Solche Begebenheiten sprechen für eine intakte soziale Struktur und einen engen familiären Bezug zum Heimatland. Nicht zuletzt der Umstand, dass der Gesuchsteller Ehefrau und Kinder für die Dauer des beabsichtigten Aufenthalts in Sri Lanka zurücklassen würde, lässt auf persönliche bzw. gesellschaftliche Verpflichtungen und daraus auf eine gewisse Verwurzelung schliessen. Nicht gefolgt werden kann dem SEM, soweit es in der Vernehmlassung auf die "auffällig lange Dauer" der Absenz von der Familie verweist. Zum einen bewegen sich die beantragten drei Monate noch im Rahmen des Üblichen, zum andern gründet diese Dauer nicht zuletzt im (beweismässig unterlegten) speziellen familiären Kontext. Wie aus dem Sachverhalt hervorgeht, beabsichtigt der Eingeladene nämlich, seine Halbschwester C._______ zu besuchen. Sie ist die Adoptivtochter der Beschwerdeführerin (gemäss Adoptionsurkunde wurde sie vom Ehemann der Gastgeberin am 4. September 2003 nach schweizerischem Recht adoptiert [SEM act. 2, pag. 67]). Die Betroffenen schildern glaubhaft, dass die Halbgeschwister jahrelang (bis 2015) keinen Kontakt untereinander gehabt haben und sich anfangs 2017 in Sri Lanka erstmals wieder persönlich trafen. Nun gehe es darum, diese Beziehung weiterzupflegen bzw. zu intensivieren. Einer denkbaren Emigration eher abträglich erscheint zudem der Umstand, dass gemäss den Akten von den Verwandten und Bekannten des Gesuchstellers einzig die eben erwähnte Halbschwester im Ausland lebt.</w:t>
      </w:r>
    </w:p>
    <w:p>
      <w:r>
        <w:rPr>
          <w:b/>
        </w:rPr>
        <w:t>E. 6.3</w:t>
      </w:r>
    </w:p>
    <w:p>
      <w:r>
        <w:t>Die Vorinstanz verweist in der angefochtenen Verfügung sodann auf das ihrer Auffassung nach sehr niedrige Einkommen, welches der Gesuchsteller erziele. Gemäss Arbeitsbestätigung vom 10. Februar 2017 erhält er als Coiffeur einen Grundlohn von umgerechnet Fr. 250.- pro Monat. Hinzu kommen nicht näher bestimmte Provisionen (SEM act. 2, pag. 64) sowie Trinkgelder, mit denen er laut Parteivertreter einen Verdienst von monatlich rund Fr. 300.- erreicht. Die Parteien gehen von einem durchschnittlichen sri-lankischen Pro-Kopf-Einkommen von umgerechnet Fr. 277.- aus. Die verwendeten Zahlen basieren allerdings auf dem Jahr 2014 (vgl. hierzu die unter E. 6.1 erstzitierte Fundstelle). Im Jahr 2016 verfügte die Bevölkerung in Sri Lanka über ein Durchschnittseinkommen von 3'478.- pro Kopf und Jahr oder 289.- pro Monat (vgl. Laenderdaten.info, durchschnittliches Einkommen weltweit, https://www.laenderdaten.info/durchschnittseinkommen.php , abgerufen im April 2018); umgerechnet schwankt dieser Betrag je nach Wechselkurs zwischen Fr. 312.- (Kurs anfangs Januar 2016) und Fr. 310.- (Kurs Ende 2016). Es ist also von einem für einheimische Verhältnisse durchschnittlichen Verdienst auszugehen. Wohl kann aufgrund des Lohngefälles zwischen der Schweiz und Sri Lanka selbst eine normal bis gut entlöhnte Tätigkeit jemanden nicht nachhaltig davon abhalten, das Land auf Dauer zu verlassen. Der Gesuchsteller generiert jedoch mit seiner mehrjährigen Erwerbstätigkeit - soweit ersichtlich, ist er schon seit 14 Jahren beim selben Arbeitgeber angestellt (SEM act. 2, pag. 45), seit November 2015 als "Senior Stylist" (SEM act. 2, pag. 64) - nicht nur regelmässige Einkünfte, sondern weist auch eine berufliche Stabilität auf. Soweit das SEM sein Erstaunen darüber zum Ausdruck bringt, dass ein berufstätiger Familienvater in seiner finanziellen Situation gleich einen dreimonatigen Auslandaufenthalt plant, wäre anzumerken, dass die eingeladene Person laut Arbeitsbestätigung danach an ihren Arbeitsplatz zurückkehren kann und die Gastgeberin mit ihrem Gatten der zurückbleibenden Familie im Falle finanzieller Engpässe (vor allem wegen Lohnausfalls) aushelfen würde. Wie an anderer Stelle dargetan, stammt der Gesuchsteller überdies aus der Hauptstadtregion mit ihren vergleichsweise günstigen wirtschaftlichen Rahmenbedingungen. Die vorinstanzlichen Bedenken hinsichtlich des Fehlens besonderer beruflicher Verpflichtungen gilt es von daher zu relativieren.</w:t>
      </w:r>
    </w:p>
    <w:p>
      <w:r>
        <w:rPr>
          <w:b/>
        </w:rPr>
        <w:t>E. 6.4</w:t>
      </w:r>
    </w:p>
    <w:p>
      <w:r>
        <w:t>Dass nicht ausreichende Mittel zur Bestreitung des Lebensunterhaltes sowohl für die Dauer des geplanten Aufenthaltes in der Schweiz als auch für die Rückreise in den Herkunftsstaat vorhanden seien, wird seitens der Vorinstanz derweil zu Recht nicht bemängelt. Ein solcher Nachweis kann denn auch durch Dritte erbracht werden (zum Ganzen vgl. etwa Urteil des BVGer F-3638/2016 vom 20. Dezember 2016 E. 7.4.1 und 7.4.3). Vorliegend garantiert die Beschwerdeführerin die Übernahme sämtlicher mit der Einladung anfallenden Kosten. Entsprechende Unterlagen (Lohnausweise, Verpflichtungserklärung, Unterhaltsgarantie, Reiseversicherung, Hin- und Rückreisetickets, etc.) befinden sich in den Verfahrensakten. Die Einsprache vom 31. März 2017 (SEM act. 1, pag. 33/34), die Kaufvertragskopie vom 13. Juli 2001 betr. Erwerb eines Grundstücks durch die Gastgeberin und ihren Ehemann (SEM act. 5, pag. 82 - 90) und die positive Stellungnahme der Einwohnergemeinde Y.______ vom 22. Mai 2017 (SEM act. 5, pag. 95/96) vermitteln weitere Aufschlüsse über den Rahmen und die Ausgestaltung des fraglichen Besuchsaufenthalts. Damit einher geht, dass die Initiative hierzu von der Beschwerdeführerin und ihrer Adoptivtochter ausging. Es handelt sich um weitere Faktoren, die ebenfalls geeignet sind, das Risiko einer nicht fristgerechten Wiederausreise nach dem geplanten Besuchsaufenthalt in der Schweiz entscheidend herabzusetzen.</w:t>
      </w:r>
    </w:p>
    <w:p>
      <w:r>
        <w:rPr>
          <w:b/>
        </w:rPr>
        <w:t>E. 6.5</w:t>
      </w:r>
    </w:p>
    <w:p>
      <w:r>
        <w:t>Aufgrund des Gesagten lassen sich auch die im vorliegenden Fall von Seiten der Schweizer Botschaft in Colombo darüber hinaus geäusserten Zweifel am deklarierten Aufenthaltszweck (Besuchsaufenthalt; vgl. Art. 16 i.V.m. Art. 12 Abs. 2 Bst. c in fine VEV) nicht aufrechterhalten. Dass die beiden Halbgeschwister die lange Zeit unterbrochen gewesenen Kontakte mit Unterstützung der Beschwerdeführerin reaktivieren möchten, erscheint jedenfalls nachvollziehbar.</w:t>
      </w:r>
    </w:p>
    <w:p>
      <w:r>
        <w:rPr>
          <w:b/>
        </w:rPr>
        <w:t>E. 7</w:t>
      </w:r>
    </w:p>
    <w:p>
      <w:r>
        <w:t>Zusammenfassend ist somit festzuhalten, dass dem Gesuchsteller die Erteilung eines Visums nicht mit der Begründung verweigert werden kann, die Wiederausreise sei nicht gesichert. Analoges gilt mit Blick auf die in der angefochtenen Verfügung nicht mehr aufgeführten Bedenken hinsichtlich des Aufenthaltszwecks. Daran ändert nichts, dass das Risiko für eine Missachtung ausländerrechtlicher Normen naturgemäss nie gänzlich ausgeschlossen werden kann. Indem die Vorinstanz den rechtserheblichen Sachverhalt wesentlich anders beurteilte, hat sie Bundesrecht verletzt (vgl. Art. 49 Bst. a VwVG). Die Beschwerde ist daher gutzuheissen, die angefochtene Verfügung aufzuheben und die Sache zur neuerlichen Beurteilung an das SEM zurückzuweisen. Dabei bleibt von der Vorinstanz zu prüfen, ob die übrigen Einreisevoraussetzungen (vgl. E. 4) erfüllt sind.</w:t>
      </w:r>
    </w:p>
    <w:p>
      <w:r>
        <w:rPr>
          <w:b/>
        </w:rPr>
        <w:t>E. 8</w:t>
      </w:r>
    </w:p>
    <w:p>
      <w:r>
        <w:t>Bei diesem Ausgang des Verfahrens sind der Beschwerdeführerin keine Kosten aufzuerlegen (Art. 63 Abs. 1 VwVG), und es ist ihr gestützt auf Art. 64 VwVG i.Vm. Art. 7 ff. des Reglements vom 21. Februar 2008 über die Kosten und Entschädigungen vor dem Bundesverwaltungsgericht (VGKE, SR 173.320.2) zu Lasten der Vorinstanz eine angemessene Parteientschädigung zuzusprechen.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